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842" w:rsidRDefault="00D23842" w:rsidP="00731026">
      <w:pPr>
        <w:pStyle w:val="Heading1"/>
        <w:ind w:firstLine="284"/>
      </w:pPr>
      <w:bookmarkStart w:id="0" w:name="_GoBack"/>
      <w:bookmarkEnd w:id="0"/>
      <w:r>
        <w:t xml:space="preserve">Regulations for </w:t>
      </w:r>
      <w:r w:rsidRPr="00C92491">
        <w:t>research</w:t>
      </w:r>
      <w:r>
        <w:t xml:space="preserve"> degree programmes</w:t>
      </w:r>
      <w:r w:rsidR="005002BD">
        <w:t xml:space="preserve"> 2017/18</w:t>
      </w:r>
    </w:p>
    <w:p w:rsidR="00D23842" w:rsidRPr="00815DDC" w:rsidRDefault="00D23842" w:rsidP="00815DDC">
      <w:pPr>
        <w:keepNext/>
        <w:keepLines/>
        <w:spacing w:before="200" w:after="0"/>
        <w:ind w:left="284"/>
        <w:outlineLvl w:val="1"/>
        <w:rPr>
          <w:rFonts w:asciiTheme="majorHAnsi" w:eastAsiaTheme="majorEastAsia" w:hAnsiTheme="majorHAnsi" w:cstheme="majorBidi"/>
          <w:b/>
          <w:bCs/>
          <w:color w:val="4F81BD" w:themeColor="accent1"/>
          <w:sz w:val="26"/>
          <w:szCs w:val="26"/>
        </w:rPr>
      </w:pPr>
      <w:r w:rsidRPr="00815DDC">
        <w:rPr>
          <w:rFonts w:asciiTheme="majorHAnsi" w:eastAsiaTheme="majorEastAsia" w:hAnsiTheme="majorHAnsi" w:cstheme="majorBidi"/>
          <w:b/>
          <w:bCs/>
          <w:color w:val="4F81BD" w:themeColor="accent1"/>
          <w:sz w:val="26"/>
          <w:szCs w:val="26"/>
        </w:rPr>
        <w:t>Introduction</w:t>
      </w:r>
    </w:p>
    <w:p w:rsidR="00D23842" w:rsidRDefault="00D23842" w:rsidP="00D23842">
      <w:pPr>
        <w:pStyle w:val="ListParagraph"/>
        <w:numPr>
          <w:ilvl w:val="0"/>
          <w:numId w:val="1"/>
        </w:numPr>
      </w:pPr>
      <w:r w:rsidRPr="006D35B2">
        <w:t xml:space="preserve">These regulations are the most important part of the University’s information for </w:t>
      </w:r>
      <w:r>
        <w:t xml:space="preserve">research </w:t>
      </w:r>
      <w:r w:rsidRPr="006D35B2">
        <w:t xml:space="preserve">students.  They set out requirements and expectations for the University’s </w:t>
      </w:r>
      <w:r>
        <w:t xml:space="preserve">research </w:t>
      </w:r>
      <w:r w:rsidR="00FC1E16">
        <w:t>degree</w:t>
      </w:r>
      <w:r>
        <w:t>s</w:t>
      </w:r>
      <w:r w:rsidR="00BD24CA">
        <w:t>.  Further information is available in t</w:t>
      </w:r>
      <w:r w:rsidRPr="006D35B2">
        <w:t xml:space="preserve">he </w:t>
      </w:r>
      <w:r>
        <w:t>Research Student</w:t>
      </w:r>
      <w:r w:rsidR="005A57D1">
        <w:t xml:space="preserve"> and Supervisor</w:t>
      </w:r>
      <w:r>
        <w:t xml:space="preserve"> Handbook</w:t>
      </w:r>
      <w:r w:rsidR="00BD24CA">
        <w:t xml:space="preserve"> and on the University web pages, but in all cases these regulations take precedence.</w:t>
      </w:r>
    </w:p>
    <w:p w:rsidR="00C92491" w:rsidRPr="00815DDC" w:rsidRDefault="00C92491" w:rsidP="00815DDC">
      <w:pPr>
        <w:keepNext/>
        <w:keepLines/>
        <w:spacing w:before="200" w:after="0"/>
        <w:ind w:left="284"/>
        <w:outlineLvl w:val="1"/>
        <w:rPr>
          <w:rFonts w:asciiTheme="majorHAnsi" w:eastAsiaTheme="majorEastAsia" w:hAnsiTheme="majorHAnsi" w:cstheme="majorBidi"/>
          <w:b/>
          <w:bCs/>
          <w:color w:val="4F81BD" w:themeColor="accent1"/>
          <w:sz w:val="26"/>
          <w:szCs w:val="26"/>
        </w:rPr>
      </w:pPr>
      <w:r w:rsidRPr="00815DDC">
        <w:rPr>
          <w:rFonts w:asciiTheme="majorHAnsi" w:eastAsiaTheme="majorEastAsia" w:hAnsiTheme="majorHAnsi" w:cstheme="majorBidi"/>
          <w:b/>
          <w:bCs/>
          <w:color w:val="4F81BD" w:themeColor="accent1"/>
          <w:sz w:val="26"/>
          <w:szCs w:val="26"/>
        </w:rPr>
        <w:t>Admission</w:t>
      </w:r>
      <w:r w:rsidR="001D375E">
        <w:rPr>
          <w:rFonts w:asciiTheme="majorHAnsi" w:eastAsiaTheme="majorEastAsia" w:hAnsiTheme="majorHAnsi" w:cstheme="majorBidi"/>
          <w:b/>
          <w:bCs/>
          <w:color w:val="4F81BD" w:themeColor="accent1"/>
          <w:sz w:val="26"/>
          <w:szCs w:val="26"/>
        </w:rPr>
        <w:t xml:space="preserve">, </w:t>
      </w:r>
      <w:r w:rsidRPr="00815DDC">
        <w:rPr>
          <w:rFonts w:asciiTheme="majorHAnsi" w:eastAsiaTheme="majorEastAsia" w:hAnsiTheme="majorHAnsi" w:cstheme="majorBidi"/>
          <w:b/>
          <w:bCs/>
          <w:color w:val="4F81BD" w:themeColor="accent1"/>
          <w:sz w:val="26"/>
          <w:szCs w:val="26"/>
        </w:rPr>
        <w:t>registration</w:t>
      </w:r>
      <w:r w:rsidR="008A0AF0">
        <w:rPr>
          <w:rFonts w:asciiTheme="majorHAnsi" w:eastAsiaTheme="majorEastAsia" w:hAnsiTheme="majorHAnsi" w:cstheme="majorBidi"/>
          <w:b/>
          <w:bCs/>
          <w:color w:val="4F81BD" w:themeColor="accent1"/>
          <w:sz w:val="26"/>
          <w:szCs w:val="26"/>
        </w:rPr>
        <w:t xml:space="preserve"> and</w:t>
      </w:r>
      <w:r w:rsidR="00D75A81">
        <w:rPr>
          <w:rFonts w:asciiTheme="majorHAnsi" w:eastAsiaTheme="majorEastAsia" w:hAnsiTheme="majorHAnsi" w:cstheme="majorBidi"/>
          <w:b/>
          <w:bCs/>
          <w:color w:val="4F81BD" w:themeColor="accent1"/>
          <w:sz w:val="26"/>
          <w:szCs w:val="26"/>
        </w:rPr>
        <w:t xml:space="preserve"> fees</w:t>
      </w:r>
    </w:p>
    <w:p w:rsidR="00C92491" w:rsidRDefault="00C92491" w:rsidP="00C92491">
      <w:pPr>
        <w:pStyle w:val="ListParagraph"/>
        <w:numPr>
          <w:ilvl w:val="0"/>
          <w:numId w:val="1"/>
        </w:numPr>
      </w:pPr>
      <w:r>
        <w:t>Students who are admitted to the University should complete registration prior to the start date specified in their offer letter.  Students are not entitled to supervision or access to University facilities until registration has been completed.  In all case</w:t>
      </w:r>
      <w:r w:rsidR="00FC1E16">
        <w:t>s</w:t>
      </w:r>
      <w:r>
        <w:t>, students must have completed registration no later than two weeks after the specified start date.</w:t>
      </w:r>
    </w:p>
    <w:p w:rsidR="00C92491" w:rsidRDefault="00C92491" w:rsidP="00C92491">
      <w:pPr>
        <w:pStyle w:val="ListParagraph"/>
        <w:numPr>
          <w:ilvl w:val="0"/>
          <w:numId w:val="1"/>
        </w:numPr>
      </w:pPr>
      <w:r>
        <w:t>The University reserves the right to withdraw the registration of students who have failed to disclose relevant information, or who have presented misleading or false information, in applying for a programme of study.  The University also reserves the right to decline or withdraw the registration of students who do not hold the appropriate immigration status, or who fail to comply with the conditions of their visa.</w:t>
      </w:r>
    </w:p>
    <w:p w:rsidR="001D375E" w:rsidRDefault="001D375E" w:rsidP="001D375E">
      <w:pPr>
        <w:pStyle w:val="ListParagraph"/>
        <w:numPr>
          <w:ilvl w:val="0"/>
          <w:numId w:val="1"/>
        </w:numPr>
      </w:pPr>
      <w:r>
        <w:t>Research d</w:t>
      </w:r>
      <w:r w:rsidRPr="001D375E">
        <w:t xml:space="preserve">egree students </w:t>
      </w:r>
      <w:r>
        <w:t>will</w:t>
      </w:r>
      <w:r w:rsidRPr="001D375E">
        <w:t xml:space="preserve"> abide by the principles of good research practice, as set out by the University in </w:t>
      </w:r>
      <w:r w:rsidR="007D0760">
        <w:t xml:space="preserve">the Research Student </w:t>
      </w:r>
      <w:r w:rsidR="00D5173D">
        <w:t xml:space="preserve">and Supervisor </w:t>
      </w:r>
      <w:r w:rsidR="007D0760">
        <w:t>Handbook</w:t>
      </w:r>
      <w:r w:rsidR="00D5173D">
        <w:t xml:space="preserve"> and the Research Code of Conduct</w:t>
      </w:r>
      <w:r w:rsidRPr="001D375E">
        <w:t>.</w:t>
      </w:r>
    </w:p>
    <w:p w:rsidR="001473DD" w:rsidRDefault="003218BC" w:rsidP="001D375E">
      <w:pPr>
        <w:pStyle w:val="ListParagraph"/>
        <w:numPr>
          <w:ilvl w:val="0"/>
          <w:numId w:val="1"/>
        </w:numPr>
      </w:pPr>
      <w:r>
        <w:t>Students must register at the start of each subsequent year of their programme, unless suspension of studies has been approved in advance.  In order to be eligible to register in subsequent years, students must have complied with the progression requirements of their programme.</w:t>
      </w:r>
    </w:p>
    <w:p w:rsidR="003218BC" w:rsidRDefault="003218BC" w:rsidP="003218BC">
      <w:pPr>
        <w:pStyle w:val="ListParagraph"/>
        <w:numPr>
          <w:ilvl w:val="0"/>
          <w:numId w:val="1"/>
        </w:numPr>
      </w:pPr>
      <w:r w:rsidRPr="003218BC">
        <w:t xml:space="preserve">Fees will be paid in accordance with the published schedule of fees which are set on the </w:t>
      </w:r>
      <w:r>
        <w:t>basis</w:t>
      </w:r>
      <w:r w:rsidRPr="003218BC">
        <w:t xml:space="preserve"> that students will pay the relevant fee for the </w:t>
      </w:r>
      <w:r w:rsidR="00C534CA">
        <w:t xml:space="preserve">expected </w:t>
      </w:r>
      <w:r w:rsidRPr="003218BC">
        <w:t xml:space="preserve">period of study appropriate to </w:t>
      </w:r>
      <w:r w:rsidR="0097431E">
        <w:t>the student’s</w:t>
      </w:r>
      <w:r w:rsidRPr="003218BC">
        <w:t xml:space="preserve"> mode of registration and target exit award. </w:t>
      </w:r>
      <w:r w:rsidR="007D0760">
        <w:t xml:space="preserve"> </w:t>
      </w:r>
      <w:r w:rsidRPr="003218BC">
        <w:t>Should studies continue beyond this period, a r</w:t>
      </w:r>
      <w:r>
        <w:t>egistration fee will be charged.</w:t>
      </w:r>
    </w:p>
    <w:p w:rsidR="003218BC" w:rsidRDefault="003218BC" w:rsidP="003218BC">
      <w:pPr>
        <w:pStyle w:val="ListParagraph"/>
        <w:numPr>
          <w:ilvl w:val="0"/>
          <w:numId w:val="1"/>
        </w:numPr>
      </w:pPr>
      <w:r w:rsidRPr="003218BC">
        <w:t xml:space="preserve">Where a student submits a thesis before the end of the </w:t>
      </w:r>
      <w:r w:rsidR="0097135C">
        <w:t xml:space="preserve">expected </w:t>
      </w:r>
      <w:r w:rsidRPr="003218BC">
        <w:t>period of study</w:t>
      </w:r>
      <w:r w:rsidR="00D75A81">
        <w:t>,</w:t>
      </w:r>
      <w:r w:rsidRPr="003218BC">
        <w:t xml:space="preserve"> </w:t>
      </w:r>
      <w:r w:rsidR="00D75A81">
        <w:t>they</w:t>
      </w:r>
      <w:r w:rsidRPr="003218BC">
        <w:t xml:space="preserve"> must make arrangements to pay any balance of fees owing</w:t>
      </w:r>
      <w:r>
        <w:t xml:space="preserve"> for the </w:t>
      </w:r>
      <w:r w:rsidR="0097135C">
        <w:t xml:space="preserve">expected </w:t>
      </w:r>
      <w:r>
        <w:t>period of study</w:t>
      </w:r>
      <w:r w:rsidRPr="003218BC">
        <w:t xml:space="preserve"> </w:t>
      </w:r>
      <w:r w:rsidR="00D75A81">
        <w:t xml:space="preserve">before </w:t>
      </w:r>
      <w:r w:rsidR="00223BB9">
        <w:t>the thesis may be examined</w:t>
      </w:r>
      <w:r w:rsidRPr="003218BC">
        <w:t>.</w:t>
      </w:r>
    </w:p>
    <w:p w:rsidR="00815DDC" w:rsidRPr="006D35B2" w:rsidRDefault="00815DDC" w:rsidP="00815DDC">
      <w:pPr>
        <w:keepNext/>
        <w:keepLines/>
        <w:spacing w:before="200" w:after="0"/>
        <w:ind w:left="284"/>
        <w:outlineLvl w:val="1"/>
        <w:rPr>
          <w:rFonts w:asciiTheme="majorHAnsi" w:eastAsiaTheme="majorEastAsia" w:hAnsiTheme="majorHAnsi" w:cstheme="majorBidi"/>
          <w:b/>
          <w:bCs/>
          <w:color w:val="4F81BD" w:themeColor="accent1"/>
          <w:sz w:val="26"/>
          <w:szCs w:val="26"/>
        </w:rPr>
      </w:pPr>
      <w:r w:rsidRPr="006D35B2">
        <w:rPr>
          <w:rFonts w:asciiTheme="majorHAnsi" w:eastAsiaTheme="majorEastAsia" w:hAnsiTheme="majorHAnsi" w:cstheme="majorBidi"/>
          <w:b/>
          <w:bCs/>
          <w:color w:val="4F81BD" w:themeColor="accent1"/>
          <w:sz w:val="26"/>
          <w:szCs w:val="26"/>
        </w:rPr>
        <w:t>Accreditation of prior learning</w:t>
      </w:r>
    </w:p>
    <w:p w:rsidR="00815DDC" w:rsidRPr="00E6020A" w:rsidRDefault="00815DDC" w:rsidP="00815DDC">
      <w:pPr>
        <w:pStyle w:val="ListParagraph"/>
        <w:numPr>
          <w:ilvl w:val="0"/>
          <w:numId w:val="1"/>
        </w:numPr>
      </w:pPr>
      <w:r>
        <w:rPr>
          <w:rFonts w:eastAsia="Times New Roman" w:cs="Times New Roman"/>
          <w:lang w:val="en-US"/>
        </w:rPr>
        <w:t>A student may be permitted</w:t>
      </w:r>
      <w:r w:rsidRPr="00815DDC">
        <w:rPr>
          <w:rFonts w:eastAsia="Times New Roman" w:cs="Times New Roman"/>
          <w:lang w:val="en-US"/>
        </w:rPr>
        <w:t xml:space="preserve"> to transfer registration from a research degree programme at another recogni</w:t>
      </w:r>
      <w:r>
        <w:rPr>
          <w:rFonts w:eastAsia="Times New Roman" w:cs="Times New Roman"/>
          <w:lang w:val="en-US"/>
        </w:rPr>
        <w:t>s</w:t>
      </w:r>
      <w:r w:rsidRPr="00815DDC">
        <w:rPr>
          <w:rFonts w:eastAsia="Times New Roman" w:cs="Times New Roman"/>
          <w:lang w:val="en-US"/>
        </w:rPr>
        <w:t xml:space="preserve">ed higher education institution in order to enter the MPhil or PhD programme </w:t>
      </w:r>
      <w:r w:rsidR="00473BB7">
        <w:rPr>
          <w:rFonts w:eastAsia="Times New Roman" w:cs="Times New Roman"/>
          <w:lang w:val="en-US"/>
        </w:rPr>
        <w:t>at</w:t>
      </w:r>
      <w:r w:rsidRPr="00815DDC">
        <w:rPr>
          <w:rFonts w:eastAsia="Times New Roman" w:cs="Times New Roman"/>
          <w:lang w:val="en-US"/>
        </w:rPr>
        <w:t xml:space="preserve"> </w:t>
      </w:r>
      <w:r w:rsidR="00473BB7">
        <w:rPr>
          <w:rFonts w:eastAsia="Times New Roman" w:cs="Times New Roman"/>
          <w:lang w:val="en-US"/>
        </w:rPr>
        <w:t xml:space="preserve">Abertay </w:t>
      </w:r>
      <w:r w:rsidRPr="00815DDC">
        <w:rPr>
          <w:rFonts w:eastAsia="Times New Roman" w:cs="Times New Roman"/>
          <w:lang w:val="en-US"/>
        </w:rPr>
        <w:t>University</w:t>
      </w:r>
      <w:r>
        <w:rPr>
          <w:rFonts w:eastAsia="Times New Roman" w:cs="Times New Roman"/>
          <w:lang w:val="en-US"/>
        </w:rPr>
        <w:t xml:space="preserve">.  Such </w:t>
      </w:r>
      <w:r w:rsidR="00F85ED3">
        <w:rPr>
          <w:rFonts w:eastAsia="Times New Roman" w:cs="Times New Roman"/>
          <w:lang w:val="en-US"/>
        </w:rPr>
        <w:t>request</w:t>
      </w:r>
      <w:r>
        <w:rPr>
          <w:rFonts w:eastAsia="Times New Roman" w:cs="Times New Roman"/>
          <w:lang w:val="en-US"/>
        </w:rPr>
        <w:t xml:space="preserve">s will be considered by the Research Degrees </w:t>
      </w:r>
      <w:r w:rsidR="000D6B3E">
        <w:rPr>
          <w:rFonts w:eastAsia="Times New Roman" w:cs="Times New Roman"/>
          <w:lang w:val="en-US"/>
        </w:rPr>
        <w:t>Assessment Panel</w:t>
      </w:r>
      <w:r>
        <w:rPr>
          <w:rFonts w:eastAsia="Times New Roman" w:cs="Times New Roman"/>
          <w:lang w:val="en-US"/>
        </w:rPr>
        <w:t xml:space="preserve">, and </w:t>
      </w:r>
      <w:r w:rsidR="00F85ED3">
        <w:rPr>
          <w:rFonts w:eastAsia="Times New Roman" w:cs="Times New Roman"/>
          <w:lang w:val="en-US"/>
        </w:rPr>
        <w:t xml:space="preserve">where granted </w:t>
      </w:r>
      <w:r>
        <w:rPr>
          <w:rFonts w:eastAsia="Times New Roman" w:cs="Times New Roman"/>
          <w:lang w:val="en-US"/>
        </w:rPr>
        <w:t>will be specified as completed years of full-time study, to allow</w:t>
      </w:r>
      <w:r w:rsidRPr="00815DDC">
        <w:rPr>
          <w:rFonts w:eastAsia="Times New Roman" w:cs="Times New Roman"/>
          <w:lang w:val="en-US"/>
        </w:rPr>
        <w:t xml:space="preserve"> </w:t>
      </w:r>
      <w:r>
        <w:rPr>
          <w:rFonts w:eastAsia="Times New Roman" w:cs="Times New Roman"/>
          <w:lang w:val="en-US"/>
        </w:rPr>
        <w:t xml:space="preserve">entry with </w:t>
      </w:r>
      <w:r w:rsidRPr="00815DDC">
        <w:rPr>
          <w:rFonts w:eastAsia="Times New Roman" w:cs="Times New Roman"/>
          <w:lang w:val="en-US"/>
        </w:rPr>
        <w:t xml:space="preserve">advanced standing </w:t>
      </w:r>
      <w:r>
        <w:rPr>
          <w:rFonts w:eastAsia="Times New Roman" w:cs="Times New Roman"/>
          <w:lang w:val="en-US"/>
        </w:rPr>
        <w:t>to</w:t>
      </w:r>
      <w:r w:rsidRPr="00815DDC">
        <w:rPr>
          <w:rFonts w:eastAsia="Times New Roman" w:cs="Times New Roman"/>
          <w:lang w:val="en-US"/>
        </w:rPr>
        <w:t xml:space="preserve"> a specified stage of a programme</w:t>
      </w:r>
      <w:r>
        <w:rPr>
          <w:rFonts w:eastAsia="Times New Roman" w:cs="Times New Roman"/>
          <w:lang w:val="en-US"/>
        </w:rPr>
        <w:t>.</w:t>
      </w:r>
      <w:r w:rsidRPr="00815DDC">
        <w:rPr>
          <w:rFonts w:eastAsia="Times New Roman" w:cs="Times New Roman"/>
          <w:lang w:val="en-US"/>
        </w:rPr>
        <w:t xml:space="preserve"> </w:t>
      </w:r>
    </w:p>
    <w:p w:rsidR="00C92491" w:rsidRPr="006D35B2" w:rsidRDefault="00C92491" w:rsidP="00C92491">
      <w:pPr>
        <w:keepNext/>
        <w:keepLines/>
        <w:spacing w:before="200" w:after="0"/>
        <w:ind w:left="284"/>
        <w:outlineLvl w:val="1"/>
        <w:rPr>
          <w:rFonts w:asciiTheme="majorHAnsi" w:eastAsiaTheme="majorEastAsia" w:hAnsiTheme="majorHAnsi" w:cstheme="majorBidi"/>
          <w:b/>
          <w:bCs/>
          <w:color w:val="4F81BD" w:themeColor="accent1"/>
          <w:sz w:val="26"/>
          <w:szCs w:val="26"/>
        </w:rPr>
      </w:pPr>
      <w:r w:rsidRPr="006D35B2">
        <w:rPr>
          <w:rFonts w:asciiTheme="majorHAnsi" w:eastAsiaTheme="majorEastAsia" w:hAnsiTheme="majorHAnsi" w:cstheme="majorBidi"/>
          <w:b/>
          <w:bCs/>
          <w:color w:val="4F81BD" w:themeColor="accent1"/>
          <w:sz w:val="26"/>
          <w:szCs w:val="26"/>
        </w:rPr>
        <w:t>Programmes of study</w:t>
      </w:r>
    </w:p>
    <w:p w:rsidR="00C92491" w:rsidRPr="006D35B2" w:rsidRDefault="00C92491" w:rsidP="00815DDC">
      <w:pPr>
        <w:numPr>
          <w:ilvl w:val="0"/>
          <w:numId w:val="1"/>
        </w:numPr>
        <w:contextualSpacing/>
      </w:pPr>
      <w:r w:rsidRPr="006D35B2">
        <w:t xml:space="preserve">The </w:t>
      </w:r>
      <w:r>
        <w:t>research</w:t>
      </w:r>
      <w:r w:rsidRPr="006D35B2">
        <w:t xml:space="preserve"> </w:t>
      </w:r>
      <w:r w:rsidR="00E424AC">
        <w:t>degree</w:t>
      </w:r>
      <w:r w:rsidRPr="006D35B2">
        <w:t>s of the University are:</w:t>
      </w:r>
      <w:r>
        <w:br/>
      </w:r>
    </w:p>
    <w:tbl>
      <w:tblPr>
        <w:tblStyle w:val="TableGrid"/>
        <w:tblW w:w="0" w:type="auto"/>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3686"/>
      </w:tblGrid>
      <w:tr w:rsidR="00C92491" w:rsidRPr="006D35B2" w:rsidTr="00042247">
        <w:trPr>
          <w:trHeight w:hRule="exact" w:val="284"/>
        </w:trPr>
        <w:tc>
          <w:tcPr>
            <w:tcW w:w="4077" w:type="dxa"/>
          </w:tcPr>
          <w:p w:rsidR="00C92491" w:rsidRDefault="00C92491" w:rsidP="001A5A99">
            <w:pPr>
              <w:spacing w:after="120"/>
            </w:pPr>
            <w:r>
              <w:t>Doctor of Philosophy</w:t>
            </w:r>
          </w:p>
        </w:tc>
        <w:tc>
          <w:tcPr>
            <w:tcW w:w="3686" w:type="dxa"/>
          </w:tcPr>
          <w:p w:rsidR="00C92491" w:rsidRDefault="00C92491" w:rsidP="001A5A99">
            <w:pPr>
              <w:spacing w:after="120"/>
            </w:pPr>
            <w:r>
              <w:t>PhD</w:t>
            </w:r>
          </w:p>
        </w:tc>
      </w:tr>
      <w:tr w:rsidR="00C92491" w:rsidRPr="006D35B2" w:rsidTr="00042247">
        <w:trPr>
          <w:trHeight w:hRule="exact" w:val="284"/>
        </w:trPr>
        <w:tc>
          <w:tcPr>
            <w:tcW w:w="4077" w:type="dxa"/>
          </w:tcPr>
          <w:p w:rsidR="00C92491" w:rsidRDefault="00C92491" w:rsidP="001A5A99">
            <w:pPr>
              <w:spacing w:after="120"/>
            </w:pPr>
            <w:r>
              <w:lastRenderedPageBreak/>
              <w:t>Doctor of Business Administration</w:t>
            </w:r>
          </w:p>
        </w:tc>
        <w:tc>
          <w:tcPr>
            <w:tcW w:w="3686" w:type="dxa"/>
          </w:tcPr>
          <w:p w:rsidR="00C92491" w:rsidRDefault="00C92491" w:rsidP="001A5A99">
            <w:pPr>
              <w:spacing w:after="120"/>
            </w:pPr>
            <w:r>
              <w:t>DBA</w:t>
            </w:r>
          </w:p>
        </w:tc>
      </w:tr>
      <w:tr w:rsidR="00A66867" w:rsidRPr="006D35B2" w:rsidTr="00042247">
        <w:trPr>
          <w:trHeight w:hRule="exact" w:val="284"/>
        </w:trPr>
        <w:tc>
          <w:tcPr>
            <w:tcW w:w="4077" w:type="dxa"/>
          </w:tcPr>
          <w:p w:rsidR="00A66867" w:rsidRPr="006D35B2" w:rsidRDefault="00A66867" w:rsidP="00D019B0">
            <w:pPr>
              <w:spacing w:after="120"/>
            </w:pPr>
            <w:r>
              <w:t>Master of Philosophy</w:t>
            </w:r>
          </w:p>
        </w:tc>
        <w:tc>
          <w:tcPr>
            <w:tcW w:w="3686" w:type="dxa"/>
          </w:tcPr>
          <w:p w:rsidR="00A66867" w:rsidRPr="006D35B2" w:rsidRDefault="00A66867" w:rsidP="00D019B0">
            <w:pPr>
              <w:spacing w:after="120"/>
            </w:pPr>
            <w:r>
              <w:t>MPhil</w:t>
            </w:r>
          </w:p>
        </w:tc>
      </w:tr>
      <w:tr w:rsidR="00A66867" w:rsidRPr="006D35B2" w:rsidTr="00042247">
        <w:trPr>
          <w:trHeight w:hRule="exact" w:val="284"/>
        </w:trPr>
        <w:tc>
          <w:tcPr>
            <w:tcW w:w="4077" w:type="dxa"/>
          </w:tcPr>
          <w:p w:rsidR="00A66867" w:rsidRPr="006D35B2" w:rsidRDefault="00A66867" w:rsidP="001A5A99">
            <w:pPr>
              <w:spacing w:after="120"/>
            </w:pPr>
            <w:r>
              <w:t>Master of Arts</w:t>
            </w:r>
          </w:p>
        </w:tc>
        <w:tc>
          <w:tcPr>
            <w:tcW w:w="3686" w:type="dxa"/>
          </w:tcPr>
          <w:p w:rsidR="00A66867" w:rsidRPr="006D35B2" w:rsidRDefault="00A66867" w:rsidP="001A5A99">
            <w:pPr>
              <w:spacing w:after="120"/>
            </w:pPr>
            <w:r>
              <w:t>MA</w:t>
            </w:r>
          </w:p>
        </w:tc>
      </w:tr>
      <w:tr w:rsidR="00A66867" w:rsidRPr="006D35B2" w:rsidTr="00042247">
        <w:trPr>
          <w:trHeight w:hRule="exact" w:val="284"/>
        </w:trPr>
        <w:tc>
          <w:tcPr>
            <w:tcW w:w="4077" w:type="dxa"/>
          </w:tcPr>
          <w:p w:rsidR="00A66867" w:rsidRPr="006D35B2" w:rsidRDefault="00A66867" w:rsidP="001A5A99">
            <w:pPr>
              <w:spacing w:after="120"/>
            </w:pPr>
            <w:r>
              <w:t>Master of Science</w:t>
            </w:r>
          </w:p>
        </w:tc>
        <w:tc>
          <w:tcPr>
            <w:tcW w:w="3686" w:type="dxa"/>
          </w:tcPr>
          <w:p w:rsidR="00A66867" w:rsidRPr="006D35B2" w:rsidRDefault="00A66867" w:rsidP="001A5A99">
            <w:pPr>
              <w:spacing w:after="120"/>
            </w:pPr>
            <w:r>
              <w:t>MSc</w:t>
            </w:r>
          </w:p>
        </w:tc>
      </w:tr>
      <w:tr w:rsidR="00A66867" w:rsidRPr="006D35B2" w:rsidTr="00042247">
        <w:trPr>
          <w:trHeight w:hRule="exact" w:val="284"/>
        </w:trPr>
        <w:tc>
          <w:tcPr>
            <w:tcW w:w="4077" w:type="dxa"/>
          </w:tcPr>
          <w:p w:rsidR="00A66867" w:rsidRPr="006D35B2" w:rsidRDefault="00A66867" w:rsidP="00C92491">
            <w:pPr>
              <w:spacing w:after="120"/>
            </w:pPr>
            <w:r>
              <w:t>Master of Laws</w:t>
            </w:r>
          </w:p>
        </w:tc>
        <w:tc>
          <w:tcPr>
            <w:tcW w:w="3686" w:type="dxa"/>
          </w:tcPr>
          <w:p w:rsidR="00A66867" w:rsidRPr="006D35B2" w:rsidRDefault="00A66867" w:rsidP="001A5A99">
            <w:pPr>
              <w:spacing w:after="120"/>
            </w:pPr>
            <w:r>
              <w:t>LLM</w:t>
            </w:r>
          </w:p>
        </w:tc>
      </w:tr>
      <w:tr w:rsidR="00A66867" w:rsidRPr="006D35B2" w:rsidTr="00042247">
        <w:trPr>
          <w:trHeight w:hRule="exact" w:val="284"/>
        </w:trPr>
        <w:tc>
          <w:tcPr>
            <w:tcW w:w="4077" w:type="dxa"/>
          </w:tcPr>
          <w:p w:rsidR="00A66867" w:rsidRPr="006D35B2" w:rsidRDefault="00A66867" w:rsidP="00C92491">
            <w:pPr>
              <w:spacing w:after="120"/>
            </w:pPr>
          </w:p>
        </w:tc>
        <w:tc>
          <w:tcPr>
            <w:tcW w:w="3686" w:type="dxa"/>
          </w:tcPr>
          <w:p w:rsidR="00A66867" w:rsidRPr="006D35B2" w:rsidRDefault="00A66867" w:rsidP="00C92491">
            <w:pPr>
              <w:spacing w:after="120"/>
            </w:pPr>
          </w:p>
        </w:tc>
      </w:tr>
      <w:tr w:rsidR="00A66867" w:rsidRPr="006D35B2" w:rsidTr="001A5A99">
        <w:tc>
          <w:tcPr>
            <w:tcW w:w="4077" w:type="dxa"/>
          </w:tcPr>
          <w:p w:rsidR="00A66867" w:rsidRPr="00E6020A" w:rsidRDefault="00A66867" w:rsidP="001A5A99">
            <w:pPr>
              <w:spacing w:after="120"/>
            </w:pPr>
          </w:p>
        </w:tc>
        <w:tc>
          <w:tcPr>
            <w:tcW w:w="3686" w:type="dxa"/>
          </w:tcPr>
          <w:p w:rsidR="00A66867" w:rsidRPr="006D35B2" w:rsidRDefault="00A66867" w:rsidP="001A5A99">
            <w:pPr>
              <w:spacing w:after="120"/>
            </w:pPr>
          </w:p>
        </w:tc>
      </w:tr>
    </w:tbl>
    <w:p w:rsidR="006049F1" w:rsidRDefault="00D25858" w:rsidP="006049F1">
      <w:pPr>
        <w:numPr>
          <w:ilvl w:val="0"/>
          <w:numId w:val="1"/>
        </w:numPr>
        <w:contextualSpacing/>
      </w:pPr>
      <w:r>
        <w:t xml:space="preserve">The award of </w:t>
      </w:r>
      <w:r w:rsidR="002F0A63">
        <w:t xml:space="preserve">one of </w:t>
      </w:r>
      <w:r>
        <w:t xml:space="preserve">the </w:t>
      </w:r>
      <w:r w:rsidRPr="00D25858">
        <w:t>Master</w:t>
      </w:r>
      <w:r>
        <w:t>’</w:t>
      </w:r>
      <w:r w:rsidR="006049F1">
        <w:t>s by Research degree</w:t>
      </w:r>
      <w:r w:rsidR="002F0A63">
        <w:t>s</w:t>
      </w:r>
      <w:r w:rsidR="006049F1">
        <w:t xml:space="preserve"> </w:t>
      </w:r>
      <w:r>
        <w:t xml:space="preserve">demonstrates </w:t>
      </w:r>
      <w:r w:rsidR="006049F1" w:rsidRPr="006049F1">
        <w:t>a practical ability to undertake research studies, a systematic understanding of knowledge and a critical awareness of current problems and/or application of original thought.</w:t>
      </w:r>
    </w:p>
    <w:p w:rsidR="006049F1" w:rsidRDefault="006049F1" w:rsidP="006049F1">
      <w:pPr>
        <w:numPr>
          <w:ilvl w:val="0"/>
          <w:numId w:val="1"/>
        </w:numPr>
        <w:contextualSpacing/>
      </w:pPr>
      <w:r>
        <w:t xml:space="preserve">The award of the Master of Philosophy </w:t>
      </w:r>
      <w:r w:rsidRPr="006049F1">
        <w:t>demonstrate</w:t>
      </w:r>
      <w:r>
        <w:t>s</w:t>
      </w:r>
      <w:r w:rsidRPr="006049F1">
        <w:t xml:space="preserve"> a systematic understanding of knowledge and a critical awareness of current problems and/or application of original thought, much of which is at or informed by the forefront of the field of study or area of professional practice.</w:t>
      </w:r>
    </w:p>
    <w:p w:rsidR="00E6020A" w:rsidRDefault="00D25858" w:rsidP="006049F1">
      <w:pPr>
        <w:numPr>
          <w:ilvl w:val="0"/>
          <w:numId w:val="1"/>
        </w:numPr>
        <w:contextualSpacing/>
      </w:pPr>
      <w:r>
        <w:t>The award of the Doctor</w:t>
      </w:r>
      <w:r w:rsidR="006049F1">
        <w:t xml:space="preserve"> of Philosophy</w:t>
      </w:r>
      <w:r>
        <w:t xml:space="preserve"> demonstrates</w:t>
      </w:r>
      <w:r w:rsidR="000E77B0">
        <w:t xml:space="preserve"> the main focus of the candidate’s work to be their contribution to knowledge in their discipline or field, through original research</w:t>
      </w:r>
      <w:r w:rsidR="009A2FBC">
        <w:t>,</w:t>
      </w:r>
      <w:r w:rsidR="000E77B0">
        <w:t xml:space="preserve"> or the original application of existing knowledge or understanding.</w:t>
      </w:r>
      <w:r w:rsidR="002F0A63">
        <w:br/>
      </w:r>
    </w:p>
    <w:p w:rsidR="00815DDC" w:rsidRPr="006D35B2" w:rsidRDefault="00815DDC" w:rsidP="00815DDC">
      <w:pPr>
        <w:keepNext/>
        <w:keepLines/>
        <w:spacing w:before="200" w:after="0"/>
        <w:ind w:firstLine="284"/>
        <w:outlineLvl w:val="1"/>
        <w:rPr>
          <w:rFonts w:asciiTheme="majorHAnsi" w:eastAsiaTheme="majorEastAsia" w:hAnsiTheme="majorHAnsi" w:cstheme="majorBidi"/>
          <w:b/>
          <w:bCs/>
          <w:color w:val="4F81BD" w:themeColor="accent1"/>
          <w:sz w:val="26"/>
          <w:szCs w:val="26"/>
        </w:rPr>
      </w:pPr>
      <w:r w:rsidRPr="006D35B2">
        <w:rPr>
          <w:rFonts w:asciiTheme="majorHAnsi" w:eastAsiaTheme="majorEastAsia" w:hAnsiTheme="majorHAnsi" w:cstheme="majorBidi"/>
          <w:b/>
          <w:bCs/>
          <w:color w:val="4F81BD" w:themeColor="accent1"/>
          <w:sz w:val="26"/>
          <w:szCs w:val="26"/>
        </w:rPr>
        <w:t>Mode of attendance, suspension and duration of study</w:t>
      </w:r>
    </w:p>
    <w:p w:rsidR="00815DDC" w:rsidRPr="006D35B2" w:rsidRDefault="00C70B81" w:rsidP="00815DDC">
      <w:pPr>
        <w:numPr>
          <w:ilvl w:val="0"/>
          <w:numId w:val="1"/>
        </w:numPr>
        <w:contextualSpacing/>
      </w:pPr>
      <w:r>
        <w:t>Research</w:t>
      </w:r>
      <w:r w:rsidR="00815DDC">
        <w:t xml:space="preserve"> students may be registered on a full-time or part-time basis.  </w:t>
      </w:r>
      <w:r w:rsidR="00815DDC" w:rsidRPr="006D35B2">
        <w:t>A student may apply to</w:t>
      </w:r>
      <w:r w:rsidR="00D75A81">
        <w:t xml:space="preserve"> the </w:t>
      </w:r>
      <w:r w:rsidR="000D6B3E">
        <w:t>Registrar</w:t>
      </w:r>
      <w:r w:rsidR="00D75A81">
        <w:t xml:space="preserve"> to</w:t>
      </w:r>
      <w:r w:rsidR="00815DDC" w:rsidRPr="006D35B2">
        <w:t xml:space="preserve"> transfer from full-time to part-time, or vice-versa, </w:t>
      </w:r>
      <w:r w:rsidR="00815DDC">
        <w:t>with a statement of support from their Principal Supervisor</w:t>
      </w:r>
      <w:r w:rsidR="00815DDC" w:rsidRPr="006D35B2">
        <w:t>.  Approval to change will depend on the appropriateness of the proposed mode of study for the student’s programme</w:t>
      </w:r>
      <w:r w:rsidR="00815DDC">
        <w:t xml:space="preserve"> of research</w:t>
      </w:r>
      <w:r w:rsidR="00A66867">
        <w:t>, a compelling plan for completion of the programme of research,</w:t>
      </w:r>
      <w:r w:rsidR="00815DDC">
        <w:t xml:space="preserve"> </w:t>
      </w:r>
      <w:r w:rsidR="00815DDC" w:rsidRPr="006D35B2">
        <w:t>and visa status.</w:t>
      </w:r>
    </w:p>
    <w:p w:rsidR="00815DDC" w:rsidRPr="006D35B2" w:rsidRDefault="00815DDC" w:rsidP="00815DDC">
      <w:pPr>
        <w:numPr>
          <w:ilvl w:val="0"/>
          <w:numId w:val="1"/>
        </w:numPr>
        <w:contextualSpacing/>
      </w:pPr>
      <w:r w:rsidRPr="006D35B2">
        <w:t>A student may apply to</w:t>
      </w:r>
      <w:r w:rsidR="009952FA">
        <w:t xml:space="preserve"> the </w:t>
      </w:r>
      <w:r w:rsidR="000D6B3E">
        <w:t>Registrar</w:t>
      </w:r>
      <w:r w:rsidR="009952FA">
        <w:t xml:space="preserve"> to</w:t>
      </w:r>
      <w:r w:rsidRPr="006D35B2">
        <w:t xml:space="preserve"> suspend study for a period of up to 12 months.  </w:t>
      </w:r>
      <w:r>
        <w:t xml:space="preserve">Suspension will be granted only in multiples of one month.  </w:t>
      </w:r>
      <w:r w:rsidRPr="006D35B2">
        <w:t xml:space="preserve">Normally </w:t>
      </w:r>
      <w:r w:rsidR="00CD252D">
        <w:t>not more than 12 months’</w:t>
      </w:r>
      <w:r w:rsidRPr="006D35B2">
        <w:t xml:space="preserve"> suspension </w:t>
      </w:r>
      <w:r w:rsidR="00CD252D">
        <w:t xml:space="preserve">in total </w:t>
      </w:r>
      <w:r w:rsidRPr="006D35B2">
        <w:t>will be granted during a student’s period of study.</w:t>
      </w:r>
    </w:p>
    <w:p w:rsidR="00815DDC" w:rsidRPr="006D35B2" w:rsidRDefault="00815DDC" w:rsidP="00815DDC">
      <w:pPr>
        <w:numPr>
          <w:ilvl w:val="0"/>
          <w:numId w:val="1"/>
        </w:numPr>
        <w:contextualSpacing/>
      </w:pPr>
      <w:r>
        <w:t>Where suspension is granted, a return to study date will be agreed.  The student must register and resume their studies on that date; otherwise they will be withdrawn from study.</w:t>
      </w:r>
    </w:p>
    <w:p w:rsidR="00815DDC" w:rsidRPr="006D35B2" w:rsidRDefault="00815DDC" w:rsidP="00815DDC">
      <w:pPr>
        <w:numPr>
          <w:ilvl w:val="0"/>
          <w:numId w:val="1"/>
        </w:numPr>
        <w:contextualSpacing/>
      </w:pPr>
      <w:r w:rsidRPr="006D35B2">
        <w:t xml:space="preserve">The maximum period of study, not including any approved suspension, </w:t>
      </w:r>
      <w:r w:rsidR="00C70B81">
        <w:t xml:space="preserve">in months </w:t>
      </w:r>
      <w:r w:rsidRPr="006D35B2">
        <w:t>for each award is:</w:t>
      </w:r>
      <w:r w:rsidRPr="006D35B2">
        <w:br/>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9"/>
        <w:gridCol w:w="1701"/>
        <w:gridCol w:w="1701"/>
        <w:gridCol w:w="1701"/>
      </w:tblGrid>
      <w:tr w:rsidR="00C70B81" w:rsidRPr="006D35B2" w:rsidTr="007F7E25">
        <w:tc>
          <w:tcPr>
            <w:tcW w:w="2399" w:type="dxa"/>
          </w:tcPr>
          <w:p w:rsidR="00C70B81" w:rsidRPr="006D35B2" w:rsidRDefault="00C70B81" w:rsidP="001A5A99">
            <w:pPr>
              <w:rPr>
                <w:rFonts w:cs="Arial"/>
                <w:b/>
                <w:sz w:val="18"/>
                <w:szCs w:val="18"/>
              </w:rPr>
            </w:pPr>
            <w:r w:rsidRPr="006D35B2">
              <w:rPr>
                <w:rFonts w:cs="Arial"/>
                <w:b/>
                <w:sz w:val="18"/>
                <w:szCs w:val="18"/>
              </w:rPr>
              <w:t>Award</w:t>
            </w:r>
          </w:p>
        </w:tc>
        <w:tc>
          <w:tcPr>
            <w:tcW w:w="1701" w:type="dxa"/>
          </w:tcPr>
          <w:p w:rsidR="00C70B81" w:rsidRPr="006D35B2" w:rsidRDefault="00C70B81" w:rsidP="00C70B81">
            <w:pPr>
              <w:jc w:val="center"/>
              <w:rPr>
                <w:rFonts w:cs="Arial"/>
                <w:b/>
                <w:sz w:val="18"/>
                <w:szCs w:val="18"/>
              </w:rPr>
            </w:pPr>
            <w:r>
              <w:rPr>
                <w:rFonts w:cs="Arial"/>
                <w:b/>
                <w:sz w:val="18"/>
                <w:szCs w:val="18"/>
              </w:rPr>
              <w:t xml:space="preserve">Minimum </w:t>
            </w:r>
          </w:p>
        </w:tc>
        <w:tc>
          <w:tcPr>
            <w:tcW w:w="1701" w:type="dxa"/>
          </w:tcPr>
          <w:p w:rsidR="00C70B81" w:rsidRPr="006D35B2" w:rsidRDefault="00C70B81" w:rsidP="001A5A99">
            <w:pPr>
              <w:jc w:val="center"/>
              <w:rPr>
                <w:rFonts w:cs="Arial"/>
                <w:b/>
                <w:sz w:val="18"/>
                <w:szCs w:val="18"/>
              </w:rPr>
            </w:pPr>
            <w:r>
              <w:rPr>
                <w:rFonts w:cs="Arial"/>
                <w:b/>
                <w:sz w:val="18"/>
                <w:szCs w:val="18"/>
              </w:rPr>
              <w:t>Expected</w:t>
            </w:r>
          </w:p>
        </w:tc>
        <w:tc>
          <w:tcPr>
            <w:tcW w:w="1701" w:type="dxa"/>
          </w:tcPr>
          <w:p w:rsidR="00C70B81" w:rsidRPr="006D35B2" w:rsidRDefault="00C70B81" w:rsidP="001A5A99">
            <w:pPr>
              <w:jc w:val="center"/>
              <w:rPr>
                <w:rFonts w:cs="Arial"/>
                <w:b/>
                <w:sz w:val="18"/>
                <w:szCs w:val="18"/>
              </w:rPr>
            </w:pPr>
            <w:r>
              <w:rPr>
                <w:rFonts w:cs="Arial"/>
                <w:b/>
                <w:sz w:val="18"/>
                <w:szCs w:val="18"/>
              </w:rPr>
              <w:t>Maximum</w:t>
            </w:r>
          </w:p>
        </w:tc>
      </w:tr>
      <w:tr w:rsidR="00C70B81" w:rsidRPr="006D35B2" w:rsidTr="007F7E25">
        <w:trPr>
          <w:trHeight w:val="253"/>
        </w:trPr>
        <w:tc>
          <w:tcPr>
            <w:tcW w:w="2399" w:type="dxa"/>
          </w:tcPr>
          <w:p w:rsidR="00C70B81" w:rsidRPr="006D35B2" w:rsidRDefault="00C70B81" w:rsidP="001A5A99">
            <w:pPr>
              <w:rPr>
                <w:rFonts w:cs="Arial"/>
                <w:sz w:val="18"/>
                <w:szCs w:val="18"/>
              </w:rPr>
            </w:pPr>
            <w:r>
              <w:rPr>
                <w:rFonts w:cs="Arial"/>
                <w:sz w:val="18"/>
                <w:szCs w:val="18"/>
              </w:rPr>
              <w:t>PhD full-time</w:t>
            </w:r>
          </w:p>
        </w:tc>
        <w:tc>
          <w:tcPr>
            <w:tcW w:w="1701" w:type="dxa"/>
          </w:tcPr>
          <w:p w:rsidR="00C70B81" w:rsidRPr="006D35B2" w:rsidRDefault="00C70B81" w:rsidP="001A5A99">
            <w:pPr>
              <w:jc w:val="center"/>
              <w:rPr>
                <w:rFonts w:cs="Arial"/>
                <w:sz w:val="18"/>
                <w:szCs w:val="18"/>
              </w:rPr>
            </w:pPr>
            <w:r>
              <w:rPr>
                <w:rFonts w:cs="Arial"/>
                <w:sz w:val="18"/>
                <w:szCs w:val="18"/>
              </w:rPr>
              <w:t>24</w:t>
            </w:r>
          </w:p>
        </w:tc>
        <w:tc>
          <w:tcPr>
            <w:tcW w:w="1701" w:type="dxa"/>
          </w:tcPr>
          <w:p w:rsidR="00C70B81" w:rsidRPr="006D35B2" w:rsidRDefault="00C70B81" w:rsidP="001A5A99">
            <w:pPr>
              <w:jc w:val="center"/>
              <w:rPr>
                <w:rFonts w:cs="Arial"/>
                <w:sz w:val="18"/>
                <w:szCs w:val="18"/>
              </w:rPr>
            </w:pPr>
            <w:r>
              <w:rPr>
                <w:rFonts w:cs="Arial"/>
                <w:sz w:val="18"/>
                <w:szCs w:val="18"/>
              </w:rPr>
              <w:t>36</w:t>
            </w:r>
          </w:p>
        </w:tc>
        <w:tc>
          <w:tcPr>
            <w:tcW w:w="1701" w:type="dxa"/>
          </w:tcPr>
          <w:p w:rsidR="00C70B81" w:rsidRPr="006D35B2" w:rsidRDefault="00C70B81" w:rsidP="001A5A99">
            <w:pPr>
              <w:jc w:val="center"/>
              <w:rPr>
                <w:rFonts w:cs="Arial"/>
                <w:sz w:val="18"/>
                <w:szCs w:val="18"/>
              </w:rPr>
            </w:pPr>
            <w:r>
              <w:rPr>
                <w:rFonts w:cs="Arial"/>
                <w:sz w:val="18"/>
                <w:szCs w:val="18"/>
              </w:rPr>
              <w:t>48</w:t>
            </w:r>
          </w:p>
        </w:tc>
      </w:tr>
      <w:tr w:rsidR="00C70B81" w:rsidRPr="006D35B2" w:rsidTr="007F7E25">
        <w:trPr>
          <w:trHeight w:val="75"/>
        </w:trPr>
        <w:tc>
          <w:tcPr>
            <w:tcW w:w="2399" w:type="dxa"/>
          </w:tcPr>
          <w:p w:rsidR="00C70B81" w:rsidRPr="006D35B2" w:rsidRDefault="00C70B81" w:rsidP="001A5A99">
            <w:pPr>
              <w:rPr>
                <w:rFonts w:cs="Arial"/>
                <w:sz w:val="18"/>
                <w:szCs w:val="18"/>
              </w:rPr>
            </w:pPr>
            <w:r>
              <w:rPr>
                <w:rFonts w:cs="Arial"/>
                <w:sz w:val="18"/>
                <w:szCs w:val="18"/>
              </w:rPr>
              <w:t>MPhil full-time</w:t>
            </w:r>
          </w:p>
        </w:tc>
        <w:tc>
          <w:tcPr>
            <w:tcW w:w="1701" w:type="dxa"/>
          </w:tcPr>
          <w:p w:rsidR="00C70B81" w:rsidRPr="006D35B2" w:rsidRDefault="00C70B81" w:rsidP="001A5A99">
            <w:pPr>
              <w:jc w:val="center"/>
              <w:rPr>
                <w:rFonts w:cs="Arial"/>
                <w:sz w:val="18"/>
                <w:szCs w:val="18"/>
              </w:rPr>
            </w:pPr>
            <w:r>
              <w:rPr>
                <w:rFonts w:cs="Arial"/>
                <w:sz w:val="18"/>
                <w:szCs w:val="18"/>
              </w:rPr>
              <w:t>12</w:t>
            </w:r>
          </w:p>
        </w:tc>
        <w:tc>
          <w:tcPr>
            <w:tcW w:w="1701" w:type="dxa"/>
          </w:tcPr>
          <w:p w:rsidR="00C70B81" w:rsidRPr="006D35B2" w:rsidRDefault="00C70B81" w:rsidP="001A5A99">
            <w:pPr>
              <w:jc w:val="center"/>
              <w:rPr>
                <w:rFonts w:cs="Arial"/>
                <w:sz w:val="18"/>
                <w:szCs w:val="18"/>
              </w:rPr>
            </w:pPr>
            <w:r>
              <w:rPr>
                <w:rFonts w:cs="Arial"/>
                <w:sz w:val="18"/>
                <w:szCs w:val="18"/>
              </w:rPr>
              <w:t>24</w:t>
            </w:r>
          </w:p>
        </w:tc>
        <w:tc>
          <w:tcPr>
            <w:tcW w:w="1701" w:type="dxa"/>
          </w:tcPr>
          <w:p w:rsidR="00C70B81" w:rsidRPr="006D35B2" w:rsidRDefault="00C70B81" w:rsidP="001A5A99">
            <w:pPr>
              <w:jc w:val="center"/>
              <w:rPr>
                <w:rFonts w:cs="Arial"/>
                <w:sz w:val="18"/>
                <w:szCs w:val="18"/>
              </w:rPr>
            </w:pPr>
            <w:r>
              <w:rPr>
                <w:rFonts w:cs="Arial"/>
                <w:sz w:val="18"/>
                <w:szCs w:val="18"/>
              </w:rPr>
              <w:t>36</w:t>
            </w:r>
          </w:p>
        </w:tc>
      </w:tr>
      <w:tr w:rsidR="00C70B81" w:rsidRPr="006D35B2" w:rsidTr="007F7E25">
        <w:tc>
          <w:tcPr>
            <w:tcW w:w="2399" w:type="dxa"/>
          </w:tcPr>
          <w:p w:rsidR="00C70B81" w:rsidRPr="006D35B2" w:rsidRDefault="00C70B81" w:rsidP="001A5A99">
            <w:pPr>
              <w:rPr>
                <w:rFonts w:cs="Arial"/>
                <w:sz w:val="18"/>
                <w:szCs w:val="18"/>
              </w:rPr>
            </w:pPr>
            <w:r>
              <w:rPr>
                <w:rFonts w:cs="Arial"/>
                <w:sz w:val="18"/>
                <w:szCs w:val="18"/>
              </w:rPr>
              <w:t>M</w:t>
            </w:r>
            <w:r w:rsidR="009A2FBC">
              <w:rPr>
                <w:rFonts w:cs="Arial"/>
                <w:sz w:val="18"/>
                <w:szCs w:val="18"/>
              </w:rPr>
              <w:t>b</w:t>
            </w:r>
            <w:r>
              <w:rPr>
                <w:rFonts w:cs="Arial"/>
                <w:sz w:val="18"/>
                <w:szCs w:val="18"/>
              </w:rPr>
              <w:t>R full-time</w:t>
            </w:r>
          </w:p>
        </w:tc>
        <w:tc>
          <w:tcPr>
            <w:tcW w:w="1701" w:type="dxa"/>
          </w:tcPr>
          <w:p w:rsidR="00C70B81" w:rsidRPr="006D35B2" w:rsidRDefault="00C70B81" w:rsidP="001A5A99">
            <w:pPr>
              <w:jc w:val="center"/>
              <w:rPr>
                <w:rFonts w:cs="Arial"/>
                <w:sz w:val="18"/>
                <w:szCs w:val="18"/>
              </w:rPr>
            </w:pPr>
            <w:r>
              <w:rPr>
                <w:rFonts w:cs="Arial"/>
                <w:sz w:val="18"/>
                <w:szCs w:val="18"/>
              </w:rPr>
              <w:t>10</w:t>
            </w:r>
          </w:p>
        </w:tc>
        <w:tc>
          <w:tcPr>
            <w:tcW w:w="1701" w:type="dxa"/>
          </w:tcPr>
          <w:p w:rsidR="00C70B81" w:rsidRPr="006D35B2" w:rsidRDefault="00C70B81" w:rsidP="001A5A99">
            <w:pPr>
              <w:jc w:val="center"/>
              <w:rPr>
                <w:rFonts w:cs="Arial"/>
                <w:sz w:val="18"/>
                <w:szCs w:val="18"/>
              </w:rPr>
            </w:pPr>
            <w:r>
              <w:rPr>
                <w:rFonts w:cs="Arial"/>
                <w:sz w:val="18"/>
                <w:szCs w:val="18"/>
              </w:rPr>
              <w:t>12</w:t>
            </w:r>
          </w:p>
        </w:tc>
        <w:tc>
          <w:tcPr>
            <w:tcW w:w="1701" w:type="dxa"/>
          </w:tcPr>
          <w:p w:rsidR="00C70B81" w:rsidRPr="006D35B2" w:rsidRDefault="00C70B81" w:rsidP="001A5A99">
            <w:pPr>
              <w:jc w:val="center"/>
              <w:rPr>
                <w:rFonts w:cs="Arial"/>
                <w:sz w:val="18"/>
                <w:szCs w:val="18"/>
              </w:rPr>
            </w:pPr>
            <w:r>
              <w:rPr>
                <w:rFonts w:cs="Arial"/>
                <w:sz w:val="18"/>
                <w:szCs w:val="18"/>
              </w:rPr>
              <w:t>14</w:t>
            </w:r>
          </w:p>
        </w:tc>
      </w:tr>
      <w:tr w:rsidR="00C70B81" w:rsidRPr="006D35B2" w:rsidTr="00C70B81">
        <w:tc>
          <w:tcPr>
            <w:tcW w:w="2399" w:type="dxa"/>
            <w:tcBorders>
              <w:top w:val="single" w:sz="4" w:space="0" w:color="auto"/>
              <w:left w:val="single" w:sz="4" w:space="0" w:color="auto"/>
              <w:bottom w:val="single" w:sz="4" w:space="0" w:color="auto"/>
              <w:right w:val="single" w:sz="4" w:space="0" w:color="auto"/>
            </w:tcBorders>
          </w:tcPr>
          <w:p w:rsidR="00C70B81" w:rsidRPr="006D35B2" w:rsidRDefault="00C70B81" w:rsidP="00C70B81">
            <w:pPr>
              <w:rPr>
                <w:rFonts w:cs="Arial"/>
                <w:sz w:val="18"/>
                <w:szCs w:val="18"/>
              </w:rPr>
            </w:pPr>
            <w:r>
              <w:rPr>
                <w:rFonts w:cs="Arial"/>
                <w:sz w:val="18"/>
                <w:szCs w:val="18"/>
              </w:rPr>
              <w:t>PhD part-time</w:t>
            </w:r>
          </w:p>
        </w:tc>
        <w:tc>
          <w:tcPr>
            <w:tcW w:w="1701" w:type="dxa"/>
            <w:tcBorders>
              <w:top w:val="single" w:sz="4" w:space="0" w:color="auto"/>
              <w:left w:val="single" w:sz="4" w:space="0" w:color="auto"/>
              <w:bottom w:val="single" w:sz="4" w:space="0" w:color="auto"/>
              <w:right w:val="single" w:sz="4" w:space="0" w:color="auto"/>
            </w:tcBorders>
          </w:tcPr>
          <w:p w:rsidR="00C70B81" w:rsidRPr="006D35B2" w:rsidRDefault="00C70B81" w:rsidP="001A5A99">
            <w:pPr>
              <w:jc w:val="center"/>
              <w:rPr>
                <w:rFonts w:cs="Arial"/>
                <w:sz w:val="18"/>
                <w:szCs w:val="18"/>
              </w:rPr>
            </w:pPr>
            <w:r>
              <w:rPr>
                <w:rFonts w:cs="Arial"/>
                <w:sz w:val="18"/>
                <w:szCs w:val="18"/>
              </w:rPr>
              <w:t>48</w:t>
            </w:r>
          </w:p>
        </w:tc>
        <w:tc>
          <w:tcPr>
            <w:tcW w:w="1701" w:type="dxa"/>
            <w:tcBorders>
              <w:top w:val="single" w:sz="4" w:space="0" w:color="auto"/>
              <w:left w:val="single" w:sz="4" w:space="0" w:color="auto"/>
              <w:bottom w:val="single" w:sz="4" w:space="0" w:color="auto"/>
              <w:right w:val="single" w:sz="4" w:space="0" w:color="auto"/>
            </w:tcBorders>
          </w:tcPr>
          <w:p w:rsidR="00C70B81" w:rsidRPr="006D35B2" w:rsidRDefault="00C70B81" w:rsidP="001A5A99">
            <w:pPr>
              <w:jc w:val="center"/>
              <w:rPr>
                <w:rFonts w:cs="Arial"/>
                <w:sz w:val="18"/>
                <w:szCs w:val="18"/>
              </w:rPr>
            </w:pPr>
            <w:r>
              <w:rPr>
                <w:rFonts w:cs="Arial"/>
                <w:sz w:val="18"/>
                <w:szCs w:val="18"/>
              </w:rPr>
              <w:t>72</w:t>
            </w:r>
          </w:p>
        </w:tc>
        <w:tc>
          <w:tcPr>
            <w:tcW w:w="1701" w:type="dxa"/>
            <w:tcBorders>
              <w:top w:val="single" w:sz="4" w:space="0" w:color="auto"/>
              <w:left w:val="single" w:sz="4" w:space="0" w:color="auto"/>
              <w:bottom w:val="single" w:sz="4" w:space="0" w:color="auto"/>
              <w:right w:val="single" w:sz="4" w:space="0" w:color="auto"/>
            </w:tcBorders>
          </w:tcPr>
          <w:p w:rsidR="00C70B81" w:rsidRPr="006D35B2" w:rsidRDefault="00C70B81" w:rsidP="001A5A99">
            <w:pPr>
              <w:jc w:val="center"/>
              <w:rPr>
                <w:rFonts w:cs="Arial"/>
                <w:sz w:val="18"/>
                <w:szCs w:val="18"/>
              </w:rPr>
            </w:pPr>
            <w:r>
              <w:rPr>
                <w:rFonts w:cs="Arial"/>
                <w:sz w:val="18"/>
                <w:szCs w:val="18"/>
              </w:rPr>
              <w:t>96</w:t>
            </w:r>
          </w:p>
        </w:tc>
      </w:tr>
      <w:tr w:rsidR="00C70B81" w:rsidRPr="006D35B2" w:rsidTr="00C70B81">
        <w:tc>
          <w:tcPr>
            <w:tcW w:w="2399" w:type="dxa"/>
            <w:tcBorders>
              <w:top w:val="single" w:sz="4" w:space="0" w:color="auto"/>
              <w:left w:val="single" w:sz="4" w:space="0" w:color="auto"/>
              <w:bottom w:val="single" w:sz="4" w:space="0" w:color="auto"/>
              <w:right w:val="single" w:sz="4" w:space="0" w:color="auto"/>
            </w:tcBorders>
          </w:tcPr>
          <w:p w:rsidR="00C70B81" w:rsidRPr="006D35B2" w:rsidRDefault="00C70B81" w:rsidP="00C70B81">
            <w:pPr>
              <w:rPr>
                <w:rFonts w:cs="Arial"/>
                <w:sz w:val="18"/>
                <w:szCs w:val="18"/>
              </w:rPr>
            </w:pPr>
            <w:r>
              <w:rPr>
                <w:rFonts w:cs="Arial"/>
                <w:sz w:val="18"/>
                <w:szCs w:val="18"/>
              </w:rPr>
              <w:t>MPhil part-time</w:t>
            </w:r>
          </w:p>
        </w:tc>
        <w:tc>
          <w:tcPr>
            <w:tcW w:w="1701" w:type="dxa"/>
            <w:tcBorders>
              <w:top w:val="single" w:sz="4" w:space="0" w:color="auto"/>
              <w:left w:val="single" w:sz="4" w:space="0" w:color="auto"/>
              <w:bottom w:val="single" w:sz="4" w:space="0" w:color="auto"/>
              <w:right w:val="single" w:sz="4" w:space="0" w:color="auto"/>
            </w:tcBorders>
          </w:tcPr>
          <w:p w:rsidR="00C70B81" w:rsidRPr="006D35B2" w:rsidRDefault="00C70B81" w:rsidP="001A5A99">
            <w:pPr>
              <w:jc w:val="center"/>
              <w:rPr>
                <w:rFonts w:cs="Arial"/>
                <w:sz w:val="18"/>
                <w:szCs w:val="18"/>
              </w:rPr>
            </w:pPr>
            <w:r>
              <w:rPr>
                <w:rFonts w:cs="Arial"/>
                <w:sz w:val="18"/>
                <w:szCs w:val="18"/>
              </w:rPr>
              <w:t>24</w:t>
            </w:r>
          </w:p>
        </w:tc>
        <w:tc>
          <w:tcPr>
            <w:tcW w:w="1701" w:type="dxa"/>
            <w:tcBorders>
              <w:top w:val="single" w:sz="4" w:space="0" w:color="auto"/>
              <w:left w:val="single" w:sz="4" w:space="0" w:color="auto"/>
              <w:bottom w:val="single" w:sz="4" w:space="0" w:color="auto"/>
              <w:right w:val="single" w:sz="4" w:space="0" w:color="auto"/>
            </w:tcBorders>
          </w:tcPr>
          <w:p w:rsidR="00C70B81" w:rsidRPr="006D35B2" w:rsidRDefault="00C70B81" w:rsidP="001A5A99">
            <w:pPr>
              <w:jc w:val="center"/>
              <w:rPr>
                <w:rFonts w:cs="Arial"/>
                <w:sz w:val="18"/>
                <w:szCs w:val="18"/>
              </w:rPr>
            </w:pPr>
            <w:r>
              <w:rPr>
                <w:rFonts w:cs="Arial"/>
                <w:sz w:val="18"/>
                <w:szCs w:val="18"/>
              </w:rPr>
              <w:t>48</w:t>
            </w:r>
          </w:p>
        </w:tc>
        <w:tc>
          <w:tcPr>
            <w:tcW w:w="1701" w:type="dxa"/>
            <w:tcBorders>
              <w:top w:val="single" w:sz="4" w:space="0" w:color="auto"/>
              <w:left w:val="single" w:sz="4" w:space="0" w:color="auto"/>
              <w:bottom w:val="single" w:sz="4" w:space="0" w:color="auto"/>
              <w:right w:val="single" w:sz="4" w:space="0" w:color="auto"/>
            </w:tcBorders>
          </w:tcPr>
          <w:p w:rsidR="00C70B81" w:rsidRPr="006D35B2" w:rsidRDefault="00C70B81" w:rsidP="001A5A99">
            <w:pPr>
              <w:jc w:val="center"/>
              <w:rPr>
                <w:rFonts w:cs="Arial"/>
                <w:sz w:val="18"/>
                <w:szCs w:val="18"/>
              </w:rPr>
            </w:pPr>
            <w:r>
              <w:rPr>
                <w:rFonts w:cs="Arial"/>
                <w:sz w:val="18"/>
                <w:szCs w:val="18"/>
              </w:rPr>
              <w:t>72</w:t>
            </w:r>
          </w:p>
        </w:tc>
      </w:tr>
      <w:tr w:rsidR="00C70B81" w:rsidRPr="006D35B2" w:rsidTr="00C70B81">
        <w:tc>
          <w:tcPr>
            <w:tcW w:w="2399" w:type="dxa"/>
            <w:tcBorders>
              <w:top w:val="single" w:sz="4" w:space="0" w:color="auto"/>
              <w:left w:val="single" w:sz="4" w:space="0" w:color="auto"/>
              <w:bottom w:val="single" w:sz="4" w:space="0" w:color="auto"/>
              <w:right w:val="single" w:sz="4" w:space="0" w:color="auto"/>
            </w:tcBorders>
          </w:tcPr>
          <w:p w:rsidR="00C70B81" w:rsidRPr="006D35B2" w:rsidRDefault="00C70B81" w:rsidP="00042247">
            <w:pPr>
              <w:rPr>
                <w:rFonts w:cs="Arial"/>
                <w:sz w:val="18"/>
                <w:szCs w:val="18"/>
              </w:rPr>
            </w:pPr>
            <w:r>
              <w:rPr>
                <w:rFonts w:cs="Arial"/>
                <w:sz w:val="18"/>
                <w:szCs w:val="18"/>
              </w:rPr>
              <w:t>M</w:t>
            </w:r>
            <w:r w:rsidR="00042247">
              <w:rPr>
                <w:rFonts w:cs="Arial"/>
                <w:sz w:val="18"/>
                <w:szCs w:val="18"/>
              </w:rPr>
              <w:t>b</w:t>
            </w:r>
            <w:r>
              <w:rPr>
                <w:rFonts w:cs="Arial"/>
                <w:sz w:val="18"/>
                <w:szCs w:val="18"/>
              </w:rPr>
              <w:t>R part-time</w:t>
            </w:r>
          </w:p>
        </w:tc>
        <w:tc>
          <w:tcPr>
            <w:tcW w:w="1701" w:type="dxa"/>
            <w:tcBorders>
              <w:top w:val="single" w:sz="4" w:space="0" w:color="auto"/>
              <w:left w:val="single" w:sz="4" w:space="0" w:color="auto"/>
              <w:bottom w:val="single" w:sz="4" w:space="0" w:color="auto"/>
              <w:right w:val="single" w:sz="4" w:space="0" w:color="auto"/>
            </w:tcBorders>
          </w:tcPr>
          <w:p w:rsidR="00C70B81" w:rsidRPr="006D35B2" w:rsidRDefault="00C70B81" w:rsidP="001A5A99">
            <w:pPr>
              <w:jc w:val="center"/>
              <w:rPr>
                <w:rFonts w:cs="Arial"/>
                <w:sz w:val="18"/>
                <w:szCs w:val="18"/>
              </w:rPr>
            </w:pPr>
            <w:r>
              <w:rPr>
                <w:rFonts w:cs="Arial"/>
                <w:sz w:val="18"/>
                <w:szCs w:val="18"/>
              </w:rPr>
              <w:t>20</w:t>
            </w:r>
          </w:p>
        </w:tc>
        <w:tc>
          <w:tcPr>
            <w:tcW w:w="1701" w:type="dxa"/>
            <w:tcBorders>
              <w:top w:val="single" w:sz="4" w:space="0" w:color="auto"/>
              <w:left w:val="single" w:sz="4" w:space="0" w:color="auto"/>
              <w:bottom w:val="single" w:sz="4" w:space="0" w:color="auto"/>
              <w:right w:val="single" w:sz="4" w:space="0" w:color="auto"/>
            </w:tcBorders>
          </w:tcPr>
          <w:p w:rsidR="00C70B81" w:rsidRPr="006D35B2" w:rsidRDefault="00C70B81" w:rsidP="001A5A99">
            <w:pPr>
              <w:jc w:val="center"/>
              <w:rPr>
                <w:rFonts w:cs="Arial"/>
                <w:sz w:val="18"/>
                <w:szCs w:val="18"/>
              </w:rPr>
            </w:pPr>
            <w:r>
              <w:rPr>
                <w:rFonts w:cs="Arial"/>
                <w:sz w:val="18"/>
                <w:szCs w:val="18"/>
              </w:rPr>
              <w:t>24</w:t>
            </w:r>
          </w:p>
        </w:tc>
        <w:tc>
          <w:tcPr>
            <w:tcW w:w="1701" w:type="dxa"/>
            <w:tcBorders>
              <w:top w:val="single" w:sz="4" w:space="0" w:color="auto"/>
              <w:left w:val="single" w:sz="4" w:space="0" w:color="auto"/>
              <w:bottom w:val="single" w:sz="4" w:space="0" w:color="auto"/>
              <w:right w:val="single" w:sz="4" w:space="0" w:color="auto"/>
            </w:tcBorders>
          </w:tcPr>
          <w:p w:rsidR="00C70B81" w:rsidRPr="006D35B2" w:rsidRDefault="00C70B81" w:rsidP="001A5A99">
            <w:pPr>
              <w:jc w:val="center"/>
              <w:rPr>
                <w:rFonts w:cs="Arial"/>
                <w:sz w:val="18"/>
                <w:szCs w:val="18"/>
              </w:rPr>
            </w:pPr>
            <w:r>
              <w:rPr>
                <w:rFonts w:cs="Arial"/>
                <w:sz w:val="18"/>
                <w:szCs w:val="18"/>
              </w:rPr>
              <w:t>28</w:t>
            </w:r>
          </w:p>
        </w:tc>
      </w:tr>
    </w:tbl>
    <w:p w:rsidR="00815DDC" w:rsidRPr="006D35B2" w:rsidRDefault="00815DDC" w:rsidP="00815DDC">
      <w:pPr>
        <w:ind w:left="644"/>
        <w:contextualSpacing/>
      </w:pPr>
    </w:p>
    <w:p w:rsidR="00D75A81" w:rsidRDefault="00D75A81" w:rsidP="00D75A81">
      <w:pPr>
        <w:numPr>
          <w:ilvl w:val="0"/>
          <w:numId w:val="1"/>
        </w:numPr>
        <w:contextualSpacing/>
      </w:pPr>
      <w:r>
        <w:lastRenderedPageBreak/>
        <w:t xml:space="preserve">The </w:t>
      </w:r>
      <w:r w:rsidR="004B3B9A">
        <w:t>Registrar</w:t>
      </w:r>
      <w:r w:rsidRPr="00D75A81">
        <w:t xml:space="preserve"> may permit a student to register for a full-time PhD where the </w:t>
      </w:r>
      <w:r w:rsidR="000E574C">
        <w:t>expected</w:t>
      </w:r>
      <w:r w:rsidR="000E574C" w:rsidRPr="00D75A81">
        <w:t xml:space="preserve"> </w:t>
      </w:r>
      <w:r w:rsidRPr="00D75A81">
        <w:t xml:space="preserve">and maximum period of study are </w:t>
      </w:r>
      <w:r>
        <w:t xml:space="preserve">both </w:t>
      </w:r>
      <w:r w:rsidRPr="00D75A81">
        <w:t>set at 48 months, in cases where the funding body requires this to be the case</w:t>
      </w:r>
      <w:r>
        <w:t>,</w:t>
      </w:r>
      <w:r w:rsidRPr="00D75A81">
        <w:t xml:space="preserve"> owing to the nature of the proposed programme of research</w:t>
      </w:r>
      <w:r>
        <w:t>,</w:t>
      </w:r>
      <w:r w:rsidRPr="00D75A81">
        <w:t xml:space="preserve"> and provides funding to support an extended period of full-time training.</w:t>
      </w:r>
    </w:p>
    <w:p w:rsidR="00815DDC" w:rsidRPr="006D35B2" w:rsidRDefault="00815DDC" w:rsidP="00D75A81">
      <w:pPr>
        <w:numPr>
          <w:ilvl w:val="0"/>
          <w:numId w:val="1"/>
        </w:numPr>
        <w:contextualSpacing/>
      </w:pPr>
      <w:r w:rsidRPr="006D35B2">
        <w:t xml:space="preserve">Where a student transfers between full-time and part-time modes of study the maximum period of </w:t>
      </w:r>
      <w:r w:rsidR="00D75A81">
        <w:t>study</w:t>
      </w:r>
      <w:r w:rsidRPr="006D35B2">
        <w:t xml:space="preserve"> will be calculated on a pro-rata basis.  </w:t>
      </w:r>
    </w:p>
    <w:p w:rsidR="009F4FC1" w:rsidRDefault="00815DDC" w:rsidP="001D375E">
      <w:pPr>
        <w:numPr>
          <w:ilvl w:val="0"/>
          <w:numId w:val="1"/>
        </w:numPr>
        <w:contextualSpacing/>
      </w:pPr>
      <w:r w:rsidRPr="006D35B2">
        <w:t xml:space="preserve">The maximum period of study will be reduced </w:t>
      </w:r>
      <w:r>
        <w:t xml:space="preserve">to take account of </w:t>
      </w:r>
      <w:r w:rsidR="00F85ED3">
        <w:t xml:space="preserve">each year of </w:t>
      </w:r>
      <w:r w:rsidR="00C70B81">
        <w:t>advanced standing</w:t>
      </w:r>
      <w:r w:rsidRPr="006D35B2">
        <w:t xml:space="preserve"> granted in recognition of prior learning.</w:t>
      </w:r>
    </w:p>
    <w:p w:rsidR="009F4FC1" w:rsidRDefault="009F4FC1" w:rsidP="001D375E">
      <w:pPr>
        <w:numPr>
          <w:ilvl w:val="0"/>
          <w:numId w:val="1"/>
        </w:numPr>
        <w:contextualSpacing/>
      </w:pPr>
      <w:r w:rsidRPr="009F4FC1">
        <w:t>A candidate who is a previous graduate or a current member of staff of the University</w:t>
      </w:r>
      <w:r w:rsidR="00A66867">
        <w:t>, or who has a relevant academic connection to the University,</w:t>
      </w:r>
      <w:r w:rsidRPr="009F4FC1">
        <w:t xml:space="preserve"> may be permitted to register for the degree of Doctor of Philosophy by published work.  In such cases, the </w:t>
      </w:r>
      <w:r w:rsidR="000E574C">
        <w:t>candidate</w:t>
      </w:r>
      <w:r w:rsidR="000E574C" w:rsidRPr="009F4FC1">
        <w:t xml:space="preserve"> </w:t>
      </w:r>
      <w:r w:rsidRPr="009F4FC1">
        <w:t>must provide evidence of having authored a minimum of six peer</w:t>
      </w:r>
      <w:r w:rsidR="00A66867">
        <w:t>-</w:t>
      </w:r>
      <w:r>
        <w:t>reviewed refereed publica</w:t>
      </w:r>
      <w:r w:rsidR="000848EB">
        <w:t>tions.</w:t>
      </w:r>
      <w:r w:rsidR="0068658D">
        <w:t xml:space="preserve">  In such cases, the </w:t>
      </w:r>
      <w:r w:rsidR="000E574C">
        <w:t xml:space="preserve">expected </w:t>
      </w:r>
      <w:r w:rsidR="0068658D">
        <w:t>period of study is one year full-time, or two years part-time</w:t>
      </w:r>
      <w:r w:rsidR="00A66867">
        <w:t>,</w:t>
      </w:r>
      <w:r w:rsidR="00A66867" w:rsidRPr="00A66867">
        <w:rPr>
          <w:rFonts w:cstheme="minorHAnsi"/>
        </w:rPr>
        <w:t xml:space="preserve"> </w:t>
      </w:r>
      <w:r w:rsidR="00A66867" w:rsidRPr="00E021E8">
        <w:rPr>
          <w:rFonts w:cstheme="minorHAnsi"/>
        </w:rPr>
        <w:t>to produce a sustained narrative that integrates the published research</w:t>
      </w:r>
      <w:r w:rsidR="00A66867">
        <w:rPr>
          <w:rFonts w:cstheme="minorHAnsi"/>
        </w:rPr>
        <w:t>,</w:t>
      </w:r>
      <w:r w:rsidR="00A66867" w:rsidRPr="00E021E8">
        <w:rPr>
          <w:rFonts w:cstheme="minorHAnsi"/>
        </w:rPr>
        <w:t xml:space="preserve"> through</w:t>
      </w:r>
      <w:r w:rsidR="00A66867" w:rsidRPr="007A0F9D">
        <w:rPr>
          <w:rFonts w:cstheme="minorHAnsi"/>
        </w:rPr>
        <w:t xml:space="preserve"> coherent theoretical and </w:t>
      </w:r>
      <w:r w:rsidR="00A66867" w:rsidRPr="00E021E8">
        <w:rPr>
          <w:rFonts w:cstheme="minorHAnsi"/>
        </w:rPr>
        <w:t>methodological</w:t>
      </w:r>
      <w:r w:rsidR="00A66867" w:rsidRPr="007A0F9D">
        <w:rPr>
          <w:rFonts w:cstheme="minorHAnsi"/>
        </w:rPr>
        <w:t xml:space="preserve"> evaluation</w:t>
      </w:r>
      <w:r w:rsidR="00A66867">
        <w:rPr>
          <w:rFonts w:cstheme="minorHAnsi"/>
        </w:rPr>
        <w:t>,</w:t>
      </w:r>
      <w:r w:rsidR="00A66867" w:rsidRPr="007A0F9D">
        <w:rPr>
          <w:rFonts w:cstheme="minorHAnsi"/>
        </w:rPr>
        <w:t xml:space="preserve"> as an original and independent contribution to knowledge</w:t>
      </w:r>
      <w:r w:rsidR="00A66867">
        <w:t>.</w:t>
      </w:r>
    </w:p>
    <w:p w:rsidR="009A6085" w:rsidRDefault="007D0760" w:rsidP="007D0760">
      <w:pPr>
        <w:numPr>
          <w:ilvl w:val="0"/>
          <w:numId w:val="1"/>
        </w:numPr>
        <w:contextualSpacing/>
      </w:pPr>
      <w:r w:rsidRPr="007D0760">
        <w:t xml:space="preserve">In exceptional circumstances, </w:t>
      </w:r>
      <w:r w:rsidR="00A66867">
        <w:t xml:space="preserve">the </w:t>
      </w:r>
      <w:r w:rsidR="0063602F">
        <w:t xml:space="preserve">Registrar, consulting as appropriate with members of the </w:t>
      </w:r>
      <w:r w:rsidR="00A66867">
        <w:t xml:space="preserve">Research Degrees </w:t>
      </w:r>
      <w:r w:rsidR="004B3B9A">
        <w:t>Assessment Panel</w:t>
      </w:r>
      <w:r w:rsidR="0063602F">
        <w:t>,</w:t>
      </w:r>
      <w:r w:rsidR="00A66867">
        <w:t xml:space="preserve"> may recommend to </w:t>
      </w:r>
      <w:r w:rsidRPr="007D0760">
        <w:t xml:space="preserve">Senate </w:t>
      </w:r>
      <w:r w:rsidR="00A66867">
        <w:t>that</w:t>
      </w:r>
      <w:r w:rsidRPr="007D0760">
        <w:t xml:space="preserve"> the maximum period of enrolment for an individual student</w:t>
      </w:r>
      <w:r w:rsidR="00A66867">
        <w:t xml:space="preserve"> be extended</w:t>
      </w:r>
      <w:r>
        <w:t>.</w:t>
      </w:r>
    </w:p>
    <w:p w:rsidR="00555F4F" w:rsidRDefault="001D375E" w:rsidP="001D375E">
      <w:pPr>
        <w:numPr>
          <w:ilvl w:val="0"/>
          <w:numId w:val="1"/>
        </w:numPr>
        <w:contextualSpacing/>
      </w:pPr>
      <w:r w:rsidRPr="001D375E">
        <w:t xml:space="preserve">Postgraduate </w:t>
      </w:r>
      <w:r>
        <w:t>r</w:t>
      </w:r>
      <w:r w:rsidRPr="001D375E">
        <w:t xml:space="preserve">esearch students </w:t>
      </w:r>
      <w:r>
        <w:t>will normally</w:t>
      </w:r>
      <w:r w:rsidRPr="001D375E">
        <w:t xml:space="preserve"> pursue their programme of study and research at </w:t>
      </w:r>
      <w:r w:rsidR="00473BB7">
        <w:t>Abertay University</w:t>
      </w:r>
      <w:r w:rsidRPr="001D375E">
        <w:t xml:space="preserve">. The </w:t>
      </w:r>
      <w:r w:rsidR="0063602F">
        <w:t>Registrar</w:t>
      </w:r>
      <w:r>
        <w:t xml:space="preserve"> may</w:t>
      </w:r>
      <w:r w:rsidRPr="001D375E">
        <w:t xml:space="preserve"> </w:t>
      </w:r>
      <w:r>
        <w:t xml:space="preserve">exceptionally </w:t>
      </w:r>
      <w:r w:rsidRPr="001D375E">
        <w:t xml:space="preserve">permit </w:t>
      </w:r>
      <w:r>
        <w:t>a</w:t>
      </w:r>
      <w:r w:rsidRPr="001D375E">
        <w:t xml:space="preserve"> candidate to pursue the whole or part of their research programme elsewhere, providing that appropriate supervisory arrangements have been made, and that the student has access to appropriate research facilities</w:t>
      </w:r>
      <w:r w:rsidR="0035646D">
        <w:t xml:space="preserve"> and </w:t>
      </w:r>
      <w:r w:rsidR="00E23971">
        <w:t xml:space="preserve">engages in appropriate </w:t>
      </w:r>
      <w:r w:rsidR="0035646D">
        <w:t xml:space="preserve">researcher development </w:t>
      </w:r>
      <w:r w:rsidR="00A66867">
        <w:t>and training</w:t>
      </w:r>
      <w:r w:rsidRPr="001D375E">
        <w:t>.</w:t>
      </w:r>
    </w:p>
    <w:p w:rsidR="006446A6" w:rsidRDefault="006446A6" w:rsidP="006446A6">
      <w:pPr>
        <w:pStyle w:val="Heading2"/>
      </w:pPr>
      <w:r>
        <w:t>Supervision of research students</w:t>
      </w:r>
    </w:p>
    <w:p w:rsidR="006446A6" w:rsidRDefault="006446A6" w:rsidP="006446A6">
      <w:pPr>
        <w:numPr>
          <w:ilvl w:val="0"/>
          <w:numId w:val="1"/>
        </w:numPr>
        <w:contextualSpacing/>
      </w:pPr>
      <w:r w:rsidRPr="006446A6">
        <w:t>All research students will have a supervisory team to guide their research</w:t>
      </w:r>
      <w:r w:rsidR="002203F3">
        <w:t>er development and</w:t>
      </w:r>
      <w:r w:rsidRPr="006446A6">
        <w:t xml:space="preserve"> training</w:t>
      </w:r>
      <w:r w:rsidR="002203F3">
        <w:t>,</w:t>
      </w:r>
      <w:r w:rsidRPr="006446A6">
        <w:t xml:space="preserve"> and to provide an oversight of their programme of research. Supervisory teams will have expertise of the field of the proposed research</w:t>
      </w:r>
      <w:r w:rsidR="00A66867">
        <w:t>, appropriate supervisory experience and training,</w:t>
      </w:r>
      <w:r w:rsidRPr="006446A6">
        <w:t xml:space="preserve"> and comprise a minimum of two permanent staff members of the University.</w:t>
      </w:r>
      <w:r w:rsidR="00833C61">
        <w:t xml:space="preserve">  Further information on the composition of supervisory teams is available in the Research Student and Supervisor Handbook.</w:t>
      </w:r>
    </w:p>
    <w:p w:rsidR="00BE07F4" w:rsidRDefault="00833C61" w:rsidP="00BE07F4">
      <w:pPr>
        <w:numPr>
          <w:ilvl w:val="0"/>
          <w:numId w:val="1"/>
        </w:numPr>
        <w:contextualSpacing/>
      </w:pPr>
      <w:r>
        <w:t>The</w:t>
      </w:r>
      <w:r w:rsidR="00BE07F4" w:rsidRPr="00BE07F4">
        <w:t xml:space="preserve"> prospective supervisory team and the student learning environment will be</w:t>
      </w:r>
      <w:r>
        <w:t xml:space="preserve"> considered and approved by the Head of School.</w:t>
      </w:r>
      <w:r w:rsidR="00BE07F4">
        <w:t xml:space="preserve"> </w:t>
      </w:r>
      <w:r w:rsidR="00BE07F4" w:rsidRPr="00BE07F4">
        <w:t xml:space="preserve"> No applicant will be </w:t>
      </w:r>
      <w:r w:rsidR="00BE07F4">
        <w:t>offered a place as a research</w:t>
      </w:r>
      <w:r w:rsidR="00BE07F4" w:rsidRPr="00BE07F4">
        <w:t xml:space="preserve"> student without prior approval of </w:t>
      </w:r>
      <w:r w:rsidR="00AF07E4">
        <w:t>appropriate</w:t>
      </w:r>
      <w:r w:rsidR="00BE07F4" w:rsidRPr="00BE07F4">
        <w:t xml:space="preserve"> supervisory arrangements.</w:t>
      </w:r>
    </w:p>
    <w:p w:rsidR="006446A6" w:rsidRDefault="006446A6" w:rsidP="00BE07F4">
      <w:pPr>
        <w:numPr>
          <w:ilvl w:val="0"/>
          <w:numId w:val="1"/>
        </w:numPr>
        <w:contextualSpacing/>
      </w:pPr>
      <w:r>
        <w:t xml:space="preserve">The </w:t>
      </w:r>
      <w:r w:rsidRPr="006446A6">
        <w:t xml:space="preserve">Principal Supervisor will have overall responsibility for </w:t>
      </w:r>
      <w:r>
        <w:t>monitor</w:t>
      </w:r>
      <w:r w:rsidRPr="006446A6">
        <w:t>ing the progress of the research student and ensuring that the student has regular supervisory support</w:t>
      </w:r>
      <w:r w:rsidR="000D31A5">
        <w:t>, but other members of the supervisory team are expected to be involved regularly in meetings</w:t>
      </w:r>
      <w:r w:rsidRPr="006446A6">
        <w:t>.</w:t>
      </w:r>
    </w:p>
    <w:p w:rsidR="006446A6" w:rsidRDefault="006446A6" w:rsidP="006446A6">
      <w:pPr>
        <w:numPr>
          <w:ilvl w:val="0"/>
          <w:numId w:val="1"/>
        </w:numPr>
        <w:contextualSpacing/>
      </w:pPr>
      <w:r w:rsidRPr="006446A6">
        <w:t xml:space="preserve">Supervisory teams may not be changed without the </w:t>
      </w:r>
      <w:r>
        <w:t>approval</w:t>
      </w:r>
      <w:r w:rsidRPr="006446A6">
        <w:t xml:space="preserve"> of the </w:t>
      </w:r>
      <w:r w:rsidR="00043700">
        <w:t>Head of School</w:t>
      </w:r>
      <w:r w:rsidRPr="006446A6">
        <w:t>.</w:t>
      </w:r>
    </w:p>
    <w:p w:rsidR="00BE07F4" w:rsidRDefault="00BE07F4" w:rsidP="00BE07F4">
      <w:pPr>
        <w:numPr>
          <w:ilvl w:val="0"/>
          <w:numId w:val="1"/>
        </w:numPr>
        <w:contextualSpacing/>
      </w:pPr>
      <w:r w:rsidRPr="00BE07F4">
        <w:t xml:space="preserve">Additional subject experts may contribute to the work of the supervisory team as </w:t>
      </w:r>
      <w:r>
        <w:t>a</w:t>
      </w:r>
      <w:r w:rsidRPr="00BE07F4">
        <w:t xml:space="preserve">dvisors, but these advisors will not have any formal responsibility for the support or training of the student.  </w:t>
      </w:r>
    </w:p>
    <w:p w:rsidR="00555F4F" w:rsidRDefault="00555F4F" w:rsidP="00555F4F">
      <w:pPr>
        <w:pStyle w:val="Heading2"/>
      </w:pPr>
      <w:r>
        <w:t>Training and development</w:t>
      </w:r>
    </w:p>
    <w:p w:rsidR="00A66867" w:rsidRPr="00A66867" w:rsidRDefault="00555F4F" w:rsidP="00C717E4">
      <w:pPr>
        <w:numPr>
          <w:ilvl w:val="0"/>
          <w:numId w:val="1"/>
        </w:numPr>
        <w:contextualSpacing/>
      </w:pPr>
      <w:r w:rsidRPr="00555F4F">
        <w:t>The research degree programmes provide students with both generic and specialist research training.    During their period</w:t>
      </w:r>
      <w:r w:rsidR="00037ED5">
        <w:t xml:space="preserve"> of study</w:t>
      </w:r>
      <w:r w:rsidRPr="00555F4F">
        <w:t xml:space="preserve">, students will record their progress against the skills identified in a </w:t>
      </w:r>
      <w:r w:rsidR="0035646D">
        <w:t>Professional Development Portfolio (</w:t>
      </w:r>
      <w:r w:rsidRPr="00555F4F">
        <w:t>PDP</w:t>
      </w:r>
      <w:r w:rsidR="0035646D">
        <w:t>)</w:t>
      </w:r>
      <w:r w:rsidRPr="00555F4F">
        <w:t xml:space="preserve"> </w:t>
      </w:r>
      <w:r w:rsidR="0035646D">
        <w:t>record</w:t>
      </w:r>
      <w:r w:rsidRPr="00555F4F">
        <w:t>.  Progress with the University’s research training requirem</w:t>
      </w:r>
      <w:r w:rsidR="00A66867">
        <w:t>ents will be assessed, through review</w:t>
      </w:r>
      <w:r w:rsidRPr="00555F4F">
        <w:t xml:space="preserve"> of the PDP </w:t>
      </w:r>
      <w:r w:rsidR="0035646D">
        <w:t>record</w:t>
      </w:r>
      <w:r w:rsidRPr="00555F4F">
        <w:t xml:space="preserve">, at regular intervals during the period of study. Progress with specialist research training will be assessed </w:t>
      </w:r>
      <w:r w:rsidR="007C3D59">
        <w:t xml:space="preserve">by the supervisory team </w:t>
      </w:r>
      <w:r w:rsidRPr="00555F4F">
        <w:t xml:space="preserve">during regular progress reports on each student’s specific </w:t>
      </w:r>
      <w:r w:rsidRPr="00A66867">
        <w:t>project</w:t>
      </w:r>
      <w:r w:rsidR="00A66867" w:rsidRPr="00A66867">
        <w:rPr>
          <w:rFonts w:ascii="Arial" w:eastAsia="Times New Roman" w:hAnsi="Arial" w:cs="Times New Roman"/>
          <w:sz w:val="24"/>
          <w:szCs w:val="20"/>
          <w:lang w:val="en-US"/>
        </w:rPr>
        <w:t>.</w:t>
      </w:r>
    </w:p>
    <w:p w:rsidR="006446A6" w:rsidRDefault="00C12551" w:rsidP="00C717E4">
      <w:pPr>
        <w:numPr>
          <w:ilvl w:val="0"/>
          <w:numId w:val="1"/>
        </w:numPr>
        <w:contextualSpacing/>
      </w:pPr>
      <w:r w:rsidRPr="00C12551">
        <w:t xml:space="preserve">The student may only progress to </w:t>
      </w:r>
      <w:r w:rsidR="0070719A" w:rsidRPr="0070719A">
        <w:rPr>
          <w:i/>
        </w:rPr>
        <w:t>viva voce</w:t>
      </w:r>
      <w:r w:rsidRPr="00C12551">
        <w:t xml:space="preserve"> examination for the target award once their PDP </w:t>
      </w:r>
      <w:r w:rsidR="00C717E4">
        <w:t>record</w:t>
      </w:r>
      <w:r w:rsidR="00C717E4" w:rsidRPr="00C12551">
        <w:t xml:space="preserve"> </w:t>
      </w:r>
      <w:r w:rsidRPr="00C12551">
        <w:t xml:space="preserve">has been judged </w:t>
      </w:r>
      <w:r w:rsidR="007C3D59">
        <w:t xml:space="preserve">by the Research Degrees </w:t>
      </w:r>
      <w:r w:rsidR="004B3B9A">
        <w:t>Assessment Panel</w:t>
      </w:r>
      <w:r w:rsidR="007C3D59">
        <w:t xml:space="preserve"> </w:t>
      </w:r>
      <w:r w:rsidRPr="00C12551">
        <w:t>to evidence satisfactory generic</w:t>
      </w:r>
      <w:r w:rsidR="009542F6">
        <w:t xml:space="preserve"> and specialist</w:t>
      </w:r>
      <w:r w:rsidRPr="00C12551">
        <w:t xml:space="preserve"> research skills training. Failure of the PDP </w:t>
      </w:r>
      <w:r w:rsidR="00087E14">
        <w:t>record</w:t>
      </w:r>
      <w:r w:rsidR="00087E14" w:rsidRPr="00C12551">
        <w:t xml:space="preserve"> </w:t>
      </w:r>
      <w:r w:rsidRPr="00C12551">
        <w:t xml:space="preserve">to evidence satisfactory training will require the student to provide additional evidence as requested by the </w:t>
      </w:r>
      <w:r w:rsidR="00410D18">
        <w:t>Head of the Graduate School</w:t>
      </w:r>
      <w:r w:rsidRPr="00C12551">
        <w:t>.</w:t>
      </w:r>
    </w:p>
    <w:p w:rsidR="00C12551" w:rsidRPr="00410D18" w:rsidRDefault="00C12551" w:rsidP="00410D18">
      <w:pPr>
        <w:pStyle w:val="Heading2"/>
      </w:pPr>
      <w:r w:rsidRPr="00410D18">
        <w:t>Progression</w:t>
      </w:r>
      <w:r w:rsidR="00692F3F" w:rsidRPr="00410D18">
        <w:t xml:space="preserve"> and engagement</w:t>
      </w:r>
    </w:p>
    <w:p w:rsidR="00692F3F" w:rsidRDefault="00692F3F" w:rsidP="00C717E4">
      <w:pPr>
        <w:numPr>
          <w:ilvl w:val="0"/>
          <w:numId w:val="1"/>
        </w:numPr>
        <w:contextualSpacing/>
      </w:pPr>
      <w:r>
        <w:t>Each student is expected to meet with their supervisor</w:t>
      </w:r>
      <w:r w:rsidR="007C3D59">
        <w:t>y team</w:t>
      </w:r>
      <w:r w:rsidR="00EF0F28">
        <w:t xml:space="preserve"> as frequently as required for their research project, but at least monthly.</w:t>
      </w:r>
      <w:r w:rsidR="000D31A5">
        <w:t xml:space="preserve">  A record of each meeting should be made in </w:t>
      </w:r>
      <w:r w:rsidR="008201C4">
        <w:t>PReSS</w:t>
      </w:r>
      <w:r w:rsidR="000D31A5">
        <w:t xml:space="preserve"> within 7 days of the date of the meeting.</w:t>
      </w:r>
    </w:p>
    <w:p w:rsidR="00EF0F28" w:rsidRDefault="00EF0F28" w:rsidP="00C717E4">
      <w:pPr>
        <w:numPr>
          <w:ilvl w:val="0"/>
          <w:numId w:val="1"/>
        </w:numPr>
        <w:contextualSpacing/>
      </w:pPr>
      <w:r>
        <w:t xml:space="preserve">An application for ethical </w:t>
      </w:r>
      <w:r w:rsidR="00E95FCF">
        <w:t xml:space="preserve">approval </w:t>
      </w:r>
      <w:r>
        <w:t>of the proposed research project must be submitted within 2 months of a student’s registration date</w:t>
      </w:r>
      <w:r w:rsidR="00D77672">
        <w:t xml:space="preserve"> for Master’s by Research or Master of Philosophy, and within 6 months of the registration date for Doctor of Philosophy</w:t>
      </w:r>
      <w:r>
        <w:t>.</w:t>
      </w:r>
    </w:p>
    <w:p w:rsidR="00692F3F" w:rsidRPr="00EA401A" w:rsidRDefault="00C12551" w:rsidP="00C717E4">
      <w:pPr>
        <w:numPr>
          <w:ilvl w:val="0"/>
          <w:numId w:val="1"/>
        </w:numPr>
        <w:contextualSpacing/>
      </w:pPr>
      <w:r w:rsidRPr="00EA401A">
        <w:t xml:space="preserve">The progress of students will be assessed formally </w:t>
      </w:r>
      <w:r w:rsidR="0086494E">
        <w:t>by a</w:t>
      </w:r>
      <w:r w:rsidR="00087E14">
        <w:t xml:space="preserve">n Annual </w:t>
      </w:r>
      <w:r w:rsidR="0086494E">
        <w:t>Progress</w:t>
      </w:r>
      <w:r w:rsidR="00087E14">
        <w:t>ion</w:t>
      </w:r>
      <w:r w:rsidR="0086494E">
        <w:t xml:space="preserve"> </w:t>
      </w:r>
      <w:r w:rsidR="004B3B9A">
        <w:t xml:space="preserve">Review </w:t>
      </w:r>
      <w:r w:rsidRPr="00EA401A">
        <w:t xml:space="preserve">. </w:t>
      </w:r>
      <w:r w:rsidR="00EA401A" w:rsidRPr="00EA401A">
        <w:t xml:space="preserve"> </w:t>
      </w:r>
      <w:r w:rsidRPr="00EA401A">
        <w:t>These reviews will contain an assessment of progress towards the targets agreed for the research programme, and the student’s engagement with the programme of formal research training offered by the</w:t>
      </w:r>
      <w:r w:rsidR="007C3D59">
        <w:t xml:space="preserve"> relevant</w:t>
      </w:r>
      <w:r w:rsidRPr="00EA401A">
        <w:t xml:space="preserve"> School and the University</w:t>
      </w:r>
      <w:r w:rsidR="007C3D59">
        <w:t>’s Graduate School</w:t>
      </w:r>
      <w:r w:rsidRPr="00EA401A">
        <w:t>.</w:t>
      </w:r>
    </w:p>
    <w:p w:rsidR="00692F3F" w:rsidRDefault="00EA401A" w:rsidP="00EA401A">
      <w:pPr>
        <w:numPr>
          <w:ilvl w:val="0"/>
          <w:numId w:val="1"/>
        </w:numPr>
        <w:contextualSpacing/>
      </w:pPr>
      <w:r>
        <w:t xml:space="preserve">A formal </w:t>
      </w:r>
      <w:r w:rsidR="00087E14">
        <w:t xml:space="preserve">Annual </w:t>
      </w:r>
      <w:r>
        <w:t>Progress</w:t>
      </w:r>
      <w:r w:rsidR="00087E14">
        <w:t>ion</w:t>
      </w:r>
      <w:r>
        <w:t xml:space="preserve"> </w:t>
      </w:r>
      <w:r w:rsidR="004B3B9A">
        <w:t xml:space="preserve">Review </w:t>
      </w:r>
      <w:r>
        <w:t>will be held</w:t>
      </w:r>
      <w:r w:rsidR="0086494E">
        <w:t xml:space="preserve"> for each student</w:t>
      </w:r>
      <w:r>
        <w:t xml:space="preserve"> after 10 months’ </w:t>
      </w:r>
      <w:r w:rsidR="00C12551">
        <w:t>study</w:t>
      </w:r>
      <w:r>
        <w:t xml:space="preserve"> and annually thereafter</w:t>
      </w:r>
      <w:r w:rsidR="00EF0F28">
        <w:t xml:space="preserve">.  The </w:t>
      </w:r>
      <w:r w:rsidR="00087E14">
        <w:t xml:space="preserve">Annual </w:t>
      </w:r>
      <w:r w:rsidR="00EF0F28">
        <w:t>Progress</w:t>
      </w:r>
      <w:r w:rsidR="00087E14">
        <w:t>ion</w:t>
      </w:r>
      <w:r w:rsidR="00EF0F28">
        <w:t xml:space="preserve"> </w:t>
      </w:r>
      <w:r w:rsidR="004B3B9A">
        <w:t xml:space="preserve">Review </w:t>
      </w:r>
      <w:r w:rsidR="00EF0F28">
        <w:t>may recommend any of the following to the</w:t>
      </w:r>
      <w:r w:rsidR="0063602F">
        <w:t xml:space="preserve"> Registrar</w:t>
      </w:r>
      <w:r w:rsidR="00EF0F28">
        <w:t>:</w:t>
      </w:r>
      <w:r w:rsidR="00EF0F28">
        <w:br/>
        <w:t xml:space="preserve">(a) To note satisfactory progress towards the </w:t>
      </w:r>
      <w:r>
        <w:t xml:space="preserve">student’s intended </w:t>
      </w:r>
      <w:r w:rsidR="00FE13EF">
        <w:t>qualification</w:t>
      </w:r>
      <w:r>
        <w:t xml:space="preserve"> aim</w:t>
      </w:r>
      <w:r w:rsidR="00EF0F28">
        <w:t>;</w:t>
      </w:r>
    </w:p>
    <w:p w:rsidR="00EF0F28" w:rsidRDefault="00EF0F28" w:rsidP="00EF0F28">
      <w:pPr>
        <w:ind w:left="720"/>
        <w:contextualSpacing/>
      </w:pPr>
      <w:r>
        <w:t xml:space="preserve">(b) </w:t>
      </w:r>
      <w:r w:rsidR="0086494E">
        <w:t>At the year 1 review for a full-time student, or the year 2 review for a part-time student, t</w:t>
      </w:r>
      <w:r>
        <w:t>o confirm progression as a candidate</w:t>
      </w:r>
      <w:r w:rsidR="00FE13EF">
        <w:t xml:space="preserve"> for the degree of Doctor of Philosophy (including transfer from M</w:t>
      </w:r>
      <w:r w:rsidR="00572F85">
        <w:t xml:space="preserve">aster of </w:t>
      </w:r>
      <w:r w:rsidR="00FE13EF">
        <w:t>Phil</w:t>
      </w:r>
      <w:r w:rsidR="00572F85">
        <w:t>osophy</w:t>
      </w:r>
      <w:r w:rsidR="00FE13EF">
        <w:t xml:space="preserve"> or M</w:t>
      </w:r>
      <w:r w:rsidR="00572F85">
        <w:t xml:space="preserve">aster’s </w:t>
      </w:r>
      <w:r w:rsidR="00FE13EF">
        <w:t>b</w:t>
      </w:r>
      <w:r w:rsidR="00572F85">
        <w:t xml:space="preserve">y </w:t>
      </w:r>
      <w:r w:rsidR="00FE13EF">
        <w:t>R</w:t>
      </w:r>
      <w:r w:rsidR="00572F85">
        <w:t>esearch</w:t>
      </w:r>
      <w:r w:rsidR="00FE13EF">
        <w:t xml:space="preserve"> as appropriate</w:t>
      </w:r>
      <w:r w:rsidR="006E7ED2">
        <w:t>)</w:t>
      </w:r>
      <w:r w:rsidR="00FE13EF">
        <w:t>;</w:t>
      </w:r>
    </w:p>
    <w:p w:rsidR="006E7ED2" w:rsidRDefault="006E7ED2" w:rsidP="00EF0F28">
      <w:pPr>
        <w:ind w:left="720"/>
        <w:contextualSpacing/>
      </w:pPr>
      <w:r>
        <w:t>(c)</w:t>
      </w:r>
      <w:r w:rsidR="00E95FCF">
        <w:t xml:space="preserve"> Where sufficient </w:t>
      </w:r>
      <w:r w:rsidR="00A504C4">
        <w:t xml:space="preserve">progress has not been made, to transfer registration from </w:t>
      </w:r>
      <w:r w:rsidR="00E95FCF">
        <w:t>Doctor of Philosophy to Master of Philosophy, or from Master of Philosophy to Master’s by Research;</w:t>
      </w:r>
    </w:p>
    <w:p w:rsidR="00E95FCF" w:rsidRDefault="00E95FCF" w:rsidP="00EF0F28">
      <w:pPr>
        <w:ind w:left="720"/>
        <w:contextualSpacing/>
      </w:pPr>
      <w:r>
        <w:t xml:space="preserve">(d) </w:t>
      </w:r>
      <w:r w:rsidRPr="00E95FCF">
        <w:t>Where satisfactory progress has not been made</w:t>
      </w:r>
      <w:r>
        <w:t>, to require the student to withdraw from the research degree programme;</w:t>
      </w:r>
    </w:p>
    <w:p w:rsidR="00E95FCF" w:rsidRDefault="00E95FCF" w:rsidP="00EF0F28">
      <w:pPr>
        <w:ind w:left="720"/>
        <w:contextualSpacing/>
      </w:pPr>
      <w:r>
        <w:t xml:space="preserve">(e) In exceptional circumstances, to defer </w:t>
      </w:r>
      <w:r w:rsidR="00572F85">
        <w:t>a decision</w:t>
      </w:r>
      <w:r w:rsidR="000D31A5">
        <w:t>, once only,</w:t>
      </w:r>
      <w:r w:rsidR="00572F85">
        <w:t xml:space="preserve"> for up to 3 months. </w:t>
      </w:r>
      <w:r w:rsidR="0070719A">
        <w:br/>
        <w:t>In the case of recommendations under (c) and (d) above, the Registrar will convene a meeting of at least three members of the Research Degrees Assessment Panel to consider the recommendation.</w:t>
      </w:r>
    </w:p>
    <w:p w:rsidR="00EF0F28" w:rsidRDefault="00EA401A" w:rsidP="00C717E4">
      <w:pPr>
        <w:numPr>
          <w:ilvl w:val="0"/>
          <w:numId w:val="1"/>
        </w:numPr>
        <w:contextualSpacing/>
      </w:pPr>
      <w:r>
        <w:t>The</w:t>
      </w:r>
      <w:r w:rsidR="00572F85">
        <w:t xml:space="preserve"> Research Degrees </w:t>
      </w:r>
      <w:r w:rsidR="004B3B9A">
        <w:t>Assessment Panel</w:t>
      </w:r>
      <w:r w:rsidR="00572F85">
        <w:t xml:space="preserve"> may also set additional requirements of the student or supervisory team in relation to any concerns</w:t>
      </w:r>
      <w:r w:rsidR="007C3D59">
        <w:t xml:space="preserve"> that may impede satisfactory progress</w:t>
      </w:r>
      <w:r w:rsidR="00572F85">
        <w:t>.</w:t>
      </w:r>
    </w:p>
    <w:p w:rsidR="004F6AF6" w:rsidRDefault="004F6AF6" w:rsidP="00C717E4">
      <w:pPr>
        <w:numPr>
          <w:ilvl w:val="0"/>
          <w:numId w:val="1"/>
        </w:numPr>
        <w:contextualSpacing/>
      </w:pPr>
      <w:r>
        <w:t xml:space="preserve">Where the student’s registration is transferred for any reason, the maximum permitted period of registration for the new qualification aim will apply, and the period of registered study prior to transfer will count towards the maximum period of registration.  </w:t>
      </w:r>
    </w:p>
    <w:p w:rsidR="004F6AF6" w:rsidRDefault="004F6AF6" w:rsidP="00C717E4">
      <w:pPr>
        <w:numPr>
          <w:ilvl w:val="0"/>
          <w:numId w:val="1"/>
        </w:numPr>
        <w:contextualSpacing/>
      </w:pPr>
      <w:r>
        <w:t xml:space="preserve">Where the student has </w:t>
      </w:r>
      <w:r w:rsidR="007C3D59">
        <w:t xml:space="preserve">not completed within </w:t>
      </w:r>
      <w:r>
        <w:t xml:space="preserve">the maximum permitted period of registration for the new target award, the approval of Senate must be </w:t>
      </w:r>
      <w:r w:rsidR="000D31A5">
        <w:t>sought</w:t>
      </w:r>
      <w:r w:rsidR="007C3D59">
        <w:t xml:space="preserve">, on the recommendation of the Research Degrees </w:t>
      </w:r>
      <w:r w:rsidR="004B3B9A">
        <w:t>Assessment Panel</w:t>
      </w:r>
      <w:r w:rsidR="007C3D59">
        <w:t>,</w:t>
      </w:r>
      <w:r>
        <w:t xml:space="preserve"> and</w:t>
      </w:r>
      <w:r w:rsidR="000D31A5">
        <w:t xml:space="preserve"> if approved,</w:t>
      </w:r>
      <w:r>
        <w:t xml:space="preserve"> a final completion date agreed.</w:t>
      </w:r>
    </w:p>
    <w:p w:rsidR="007B29AD" w:rsidRDefault="00692F3F" w:rsidP="00C717E4">
      <w:pPr>
        <w:numPr>
          <w:ilvl w:val="0"/>
          <w:numId w:val="1"/>
        </w:numPr>
        <w:contextualSpacing/>
      </w:pPr>
      <w:r>
        <w:t xml:space="preserve">Progression is overseen by the Research Degrees </w:t>
      </w:r>
      <w:r w:rsidR="004B3B9A">
        <w:t>Assessment Panel</w:t>
      </w:r>
      <w:r>
        <w:t xml:space="preserve">.  </w:t>
      </w:r>
      <w:r w:rsidRPr="00692F3F">
        <w:t xml:space="preserve">A student has the right of appeal against a decision of the Research Degrees </w:t>
      </w:r>
      <w:r w:rsidR="004B3B9A">
        <w:t>Assessment Panel</w:t>
      </w:r>
      <w:r w:rsidRPr="00692F3F">
        <w:t>, in line with the Academic Appeals Procedures.</w:t>
      </w:r>
    </w:p>
    <w:p w:rsidR="007B29AD" w:rsidRDefault="007B29AD" w:rsidP="007B29AD">
      <w:pPr>
        <w:pStyle w:val="Heading2"/>
      </w:pPr>
      <w:r>
        <w:t>Submission and examination of thesis</w:t>
      </w:r>
    </w:p>
    <w:p w:rsidR="007B29AD" w:rsidRDefault="007B29AD" w:rsidP="00C717E4">
      <w:pPr>
        <w:numPr>
          <w:ilvl w:val="0"/>
          <w:numId w:val="1"/>
        </w:numPr>
        <w:contextualSpacing/>
      </w:pPr>
      <w:r w:rsidRPr="007B29AD">
        <w:t xml:space="preserve">Guidance on the procedures for preparing and submitting the thesis </w:t>
      </w:r>
      <w:r w:rsidR="00327D69">
        <w:t xml:space="preserve">to Academic Registry </w:t>
      </w:r>
      <w:r w:rsidRPr="007B29AD">
        <w:t>are contained in</w:t>
      </w:r>
      <w:r>
        <w:t xml:space="preserve"> the Research </w:t>
      </w:r>
      <w:r w:rsidR="001C2512">
        <w:t xml:space="preserve">Student and Supervisor </w:t>
      </w:r>
      <w:r>
        <w:t>Handbook.</w:t>
      </w:r>
    </w:p>
    <w:p w:rsidR="007B29AD" w:rsidRDefault="007B29AD" w:rsidP="00C717E4">
      <w:pPr>
        <w:numPr>
          <w:ilvl w:val="0"/>
          <w:numId w:val="1"/>
        </w:numPr>
        <w:contextualSpacing/>
      </w:pPr>
      <w:r w:rsidRPr="007B29AD">
        <w:t xml:space="preserve">If subject area guidelines exist, concerning thesis word limits or portfolios of evidence, these should be clearly set out in a (subject) discipline handbook, approved by the Research Degrees </w:t>
      </w:r>
      <w:r w:rsidR="004B3B9A">
        <w:t>Assessment Panel</w:t>
      </w:r>
      <w:r w:rsidRPr="007B29AD">
        <w:t xml:space="preserve"> and included as an Appendix to the Research </w:t>
      </w:r>
      <w:r w:rsidR="001C2512">
        <w:t xml:space="preserve">Student and Supervisor </w:t>
      </w:r>
      <w:r>
        <w:t>Handbook.</w:t>
      </w:r>
    </w:p>
    <w:p w:rsidR="007B29AD" w:rsidRDefault="007B29AD" w:rsidP="00C717E4">
      <w:pPr>
        <w:numPr>
          <w:ilvl w:val="0"/>
          <w:numId w:val="1"/>
        </w:numPr>
        <w:contextualSpacing/>
      </w:pPr>
      <w:r w:rsidRPr="007B29AD">
        <w:t>The thesis and any accompanying publications will be in English. Candidates may not submit work in any other language.</w:t>
      </w:r>
    </w:p>
    <w:p w:rsidR="007B29AD" w:rsidRDefault="007B29AD" w:rsidP="00C717E4">
      <w:pPr>
        <w:numPr>
          <w:ilvl w:val="0"/>
          <w:numId w:val="1"/>
        </w:numPr>
        <w:contextualSpacing/>
      </w:pPr>
      <w:r w:rsidRPr="007B29AD">
        <w:t xml:space="preserve">A thesis may not include any work that has been submitted for another award, either at the </w:t>
      </w:r>
      <w:r w:rsidR="00473BB7">
        <w:t xml:space="preserve">Abertay </w:t>
      </w:r>
      <w:r w:rsidRPr="007B29AD">
        <w:t>University or elsewhere.</w:t>
      </w:r>
    </w:p>
    <w:p w:rsidR="007B29AD" w:rsidRDefault="007B29AD" w:rsidP="00C717E4">
      <w:pPr>
        <w:numPr>
          <w:ilvl w:val="0"/>
          <w:numId w:val="1"/>
        </w:numPr>
        <w:contextualSpacing/>
      </w:pPr>
      <w:r w:rsidRPr="007B29AD">
        <w:t xml:space="preserve">A student may not submit a thesis for examination before the expiration of the minimum period of </w:t>
      </w:r>
      <w:r w:rsidR="007C3D59">
        <w:t>registration</w:t>
      </w:r>
      <w:r w:rsidRPr="007B29AD">
        <w:t xml:space="preserve">, or after the expiration of the maximum period of </w:t>
      </w:r>
      <w:r w:rsidR="007C3D59">
        <w:t>registration</w:t>
      </w:r>
      <w:r w:rsidR="000D31A5">
        <w:t xml:space="preserve">, without the </w:t>
      </w:r>
      <w:r w:rsidR="00473BB7">
        <w:t xml:space="preserve">prior </w:t>
      </w:r>
      <w:r w:rsidR="000D31A5">
        <w:t>approval of Senate</w:t>
      </w:r>
      <w:r w:rsidRPr="007B29AD">
        <w:t xml:space="preserve">.  </w:t>
      </w:r>
    </w:p>
    <w:p w:rsidR="007B29AD" w:rsidRDefault="007B29AD" w:rsidP="00C717E4">
      <w:pPr>
        <w:numPr>
          <w:ilvl w:val="0"/>
          <w:numId w:val="1"/>
        </w:numPr>
        <w:contextualSpacing/>
      </w:pPr>
      <w:r w:rsidRPr="007B29AD">
        <w:t>The thes</w:t>
      </w:r>
      <w:r>
        <w:t xml:space="preserve">is will be </w:t>
      </w:r>
      <w:r w:rsidR="0097431E">
        <w:t>assess</w:t>
      </w:r>
      <w:r>
        <w:t xml:space="preserve">ed </w:t>
      </w:r>
      <w:r w:rsidR="0097431E">
        <w:t>by an oral examination, conducted by an examining panel (</w:t>
      </w:r>
      <w:r w:rsidR="0070719A" w:rsidRPr="0070719A">
        <w:rPr>
          <w:i/>
        </w:rPr>
        <w:t>viva voce</w:t>
      </w:r>
      <w:r w:rsidR="0097431E">
        <w:rPr>
          <w:i/>
        </w:rPr>
        <w:t>)</w:t>
      </w:r>
      <w:r w:rsidRPr="007B29AD">
        <w:t xml:space="preserve">.  </w:t>
      </w:r>
    </w:p>
    <w:p w:rsidR="007B29AD" w:rsidRDefault="007B29AD" w:rsidP="00C717E4">
      <w:pPr>
        <w:numPr>
          <w:ilvl w:val="0"/>
          <w:numId w:val="1"/>
        </w:numPr>
        <w:contextualSpacing/>
      </w:pPr>
      <w:r w:rsidRPr="007B29AD">
        <w:t xml:space="preserve">Students must submit a body of work for </w:t>
      </w:r>
      <w:r w:rsidR="007C3D59">
        <w:t>examination</w:t>
      </w:r>
      <w:r w:rsidRPr="007B29AD">
        <w:t>. This may comprise a thesis that embodies the results of the</w:t>
      </w:r>
      <w:r w:rsidR="007C3D59">
        <w:t xml:space="preserve"> completed</w:t>
      </w:r>
      <w:r w:rsidRPr="007B29AD">
        <w:t xml:space="preserve"> research, or it may comprise a portfolio of creative works accompanied by a thesis. The portfolio may include previously published work, performances, creative artefacts,</w:t>
      </w:r>
      <w:r w:rsidR="007C3D59">
        <w:t xml:space="preserve"> narratives</w:t>
      </w:r>
      <w:r w:rsidRPr="007B29AD">
        <w:t xml:space="preserve"> and exhibitions of creative work or similar.</w:t>
      </w:r>
    </w:p>
    <w:p w:rsidR="007B29AD" w:rsidRDefault="006049F1" w:rsidP="00C717E4">
      <w:pPr>
        <w:numPr>
          <w:ilvl w:val="0"/>
          <w:numId w:val="1"/>
        </w:numPr>
        <w:contextualSpacing/>
      </w:pPr>
      <w:r w:rsidRPr="006049F1">
        <w:t xml:space="preserve">The thesis </w:t>
      </w:r>
      <w:r w:rsidR="00BD4CF9">
        <w:t>submitted for the degree of PhD</w:t>
      </w:r>
      <w:r>
        <w:t xml:space="preserve"> by published work must include copies of a</w:t>
      </w:r>
      <w:r w:rsidRPr="006049F1">
        <w:t xml:space="preserve"> minimum of 6 peer</w:t>
      </w:r>
      <w:r>
        <w:t>-reviewed refereed publications</w:t>
      </w:r>
      <w:r w:rsidRPr="006049F1">
        <w:t xml:space="preserve">. The publications must be linked </w:t>
      </w:r>
      <w:r w:rsidR="007C3D59">
        <w:t xml:space="preserve">by </w:t>
      </w:r>
      <w:r w:rsidR="007C3D59" w:rsidRPr="00E021E8">
        <w:rPr>
          <w:rFonts w:cstheme="minorHAnsi"/>
        </w:rPr>
        <w:t>a sustained narrative that integrates the published research</w:t>
      </w:r>
      <w:r w:rsidR="007C3D59">
        <w:rPr>
          <w:rFonts w:cstheme="minorHAnsi"/>
        </w:rPr>
        <w:t>,</w:t>
      </w:r>
      <w:r w:rsidR="007C3D59" w:rsidRPr="00E021E8">
        <w:rPr>
          <w:rFonts w:cstheme="minorHAnsi"/>
        </w:rPr>
        <w:t xml:space="preserve"> through coherent theoretical and methodological evaluation</w:t>
      </w:r>
      <w:r w:rsidR="007C3D59">
        <w:rPr>
          <w:rFonts w:cstheme="minorHAnsi"/>
        </w:rPr>
        <w:t>,</w:t>
      </w:r>
      <w:r w:rsidR="007C3D59" w:rsidRPr="00E021E8">
        <w:rPr>
          <w:rFonts w:cstheme="minorHAnsi"/>
        </w:rPr>
        <w:t xml:space="preserve"> as an original and independent contribution to knowledge</w:t>
      </w:r>
      <w:r w:rsidRPr="006049F1">
        <w:t>.</w:t>
      </w:r>
    </w:p>
    <w:p w:rsidR="00BD4CF9" w:rsidRDefault="00BD4CF9" w:rsidP="00C717E4">
      <w:pPr>
        <w:numPr>
          <w:ilvl w:val="0"/>
          <w:numId w:val="1"/>
        </w:numPr>
        <w:contextualSpacing/>
      </w:pPr>
      <w:r w:rsidRPr="00BD4CF9">
        <w:t xml:space="preserve">The </w:t>
      </w:r>
      <w:r w:rsidR="000766A7">
        <w:t>E</w:t>
      </w:r>
      <w:r w:rsidR="000766A7" w:rsidRPr="00BD4CF9">
        <w:t xml:space="preserve">xamining </w:t>
      </w:r>
      <w:r w:rsidR="000766A7">
        <w:t>P</w:t>
      </w:r>
      <w:r w:rsidR="000766A7" w:rsidRPr="00BD4CF9">
        <w:t>anel</w:t>
      </w:r>
      <w:r w:rsidR="007C3D59">
        <w:t>, and a non-examining Chair,</w:t>
      </w:r>
      <w:r w:rsidRPr="00BD4CF9">
        <w:t xml:space="preserve"> will </w:t>
      </w:r>
      <w:r>
        <w:t xml:space="preserve">be </w:t>
      </w:r>
      <w:r w:rsidRPr="00BD4CF9">
        <w:t>appointed by the</w:t>
      </w:r>
      <w:r w:rsidR="007C3D59">
        <w:t xml:space="preserve"> </w:t>
      </w:r>
      <w:r w:rsidR="004B3B9A">
        <w:t>Registrar</w:t>
      </w:r>
      <w:r w:rsidR="0097431E">
        <w:t xml:space="preserve">.  On the recommendation of the </w:t>
      </w:r>
      <w:r w:rsidR="004B3B9A">
        <w:t xml:space="preserve">Head of </w:t>
      </w:r>
      <w:r w:rsidR="0097431E">
        <w:t>School, they will appoint an External Examiner,</w:t>
      </w:r>
      <w:r w:rsidRPr="00BD4CF9">
        <w:t xml:space="preserve"> and an Internal Examiner who is a</w:t>
      </w:r>
      <w:r w:rsidR="0070719A">
        <w:t>n appropriately qualified</w:t>
      </w:r>
      <w:r w:rsidRPr="00BD4CF9">
        <w:t xml:space="preserve"> academic within the University who has not been involved in supervising the candidate. </w:t>
      </w:r>
      <w:r>
        <w:t xml:space="preserve"> </w:t>
      </w:r>
      <w:r w:rsidRPr="00BD4CF9">
        <w:t>If the candidate is also a member of staff of the University</w:t>
      </w:r>
      <w:r w:rsidR="00473BB7">
        <w:t>,</w:t>
      </w:r>
      <w:r w:rsidRPr="00BD4CF9">
        <w:t xml:space="preserve"> a second </w:t>
      </w:r>
      <w:r w:rsidR="00473BB7">
        <w:t>E</w:t>
      </w:r>
      <w:r w:rsidRPr="00BD4CF9">
        <w:t xml:space="preserve">xternal </w:t>
      </w:r>
      <w:r w:rsidR="00473BB7">
        <w:t>E</w:t>
      </w:r>
      <w:r w:rsidRPr="00BD4CF9">
        <w:t>xaminer shall be appointed.</w:t>
      </w:r>
      <w:r>
        <w:t xml:space="preserve"> </w:t>
      </w:r>
      <w:r w:rsidRPr="00BD4CF9">
        <w:t xml:space="preserve"> The </w:t>
      </w:r>
      <w:r w:rsidR="004B3B9A">
        <w:t>Registrar</w:t>
      </w:r>
      <w:r w:rsidRPr="00BD4CF9">
        <w:t xml:space="preserve"> may at </w:t>
      </w:r>
      <w:r w:rsidR="004B3B9A">
        <w:t xml:space="preserve">their </w:t>
      </w:r>
      <w:r w:rsidRPr="00BD4CF9">
        <w:t xml:space="preserve">discretion appoint additional Examiners in order to </w:t>
      </w:r>
      <w:r w:rsidR="00F3337A">
        <w:t>ensure</w:t>
      </w:r>
      <w:r w:rsidRPr="00BD4CF9">
        <w:t xml:space="preserve"> adequate expertise in the Examining Panel.</w:t>
      </w:r>
    </w:p>
    <w:p w:rsidR="00712F27" w:rsidRDefault="00712F27" w:rsidP="00C717E4">
      <w:pPr>
        <w:numPr>
          <w:ilvl w:val="0"/>
          <w:numId w:val="1"/>
        </w:numPr>
        <w:contextualSpacing/>
      </w:pPr>
      <w:r w:rsidRPr="00712F27">
        <w:t xml:space="preserve">Each Examiner will read and examine the thesis and submit </w:t>
      </w:r>
      <w:r>
        <w:t xml:space="preserve">an </w:t>
      </w:r>
      <w:r w:rsidRPr="00712F27">
        <w:t>independent written report</w:t>
      </w:r>
      <w:r w:rsidR="00926D22">
        <w:t xml:space="preserve"> in advance of the oral examination</w:t>
      </w:r>
      <w:r w:rsidR="00A77DBE">
        <w:t>.</w:t>
      </w:r>
      <w:r w:rsidRPr="00712F27">
        <w:t xml:space="preserve"> </w:t>
      </w:r>
      <w:r>
        <w:t>T</w:t>
      </w:r>
      <w:r w:rsidRPr="00712F27">
        <w:t xml:space="preserve">he Examiners may not confer </w:t>
      </w:r>
      <w:r w:rsidR="00926D22">
        <w:t>before submission of these</w:t>
      </w:r>
      <w:r w:rsidRPr="00712F27">
        <w:t xml:space="preserve"> reports</w:t>
      </w:r>
      <w:r w:rsidR="00926D22">
        <w:t>, and in no circumstances may an oral examination be held until all independent written reports are received</w:t>
      </w:r>
      <w:r w:rsidRPr="00712F27">
        <w:t xml:space="preserve">. </w:t>
      </w:r>
      <w:r>
        <w:t xml:space="preserve"> </w:t>
      </w:r>
      <w:r w:rsidRPr="00712F27">
        <w:t xml:space="preserve">The reports will be made available to the members of the Examining Panel. </w:t>
      </w:r>
      <w:r>
        <w:t xml:space="preserve"> </w:t>
      </w:r>
      <w:r w:rsidRPr="00712F27">
        <w:t>Candidates are not entitled to receive copies of the reports prior to the oral examination.</w:t>
      </w:r>
    </w:p>
    <w:p w:rsidR="00F8032E" w:rsidRDefault="00F8032E" w:rsidP="00C717E4">
      <w:pPr>
        <w:numPr>
          <w:ilvl w:val="0"/>
          <w:numId w:val="1"/>
        </w:numPr>
        <w:contextualSpacing/>
      </w:pPr>
      <w:r w:rsidRPr="00F8032E">
        <w:t xml:space="preserve">A Candidate or member of their supervisory team may not have any contact, regarding the thesis or examination, with an External Examiner between their appointment and the </w:t>
      </w:r>
      <w:r w:rsidR="0070719A" w:rsidRPr="0070719A">
        <w:rPr>
          <w:i/>
        </w:rPr>
        <w:t>viva voce</w:t>
      </w:r>
      <w:r w:rsidRPr="00F8032E">
        <w:t xml:space="preserve">.  </w:t>
      </w:r>
    </w:p>
    <w:p w:rsidR="00F8032E" w:rsidRDefault="00F8032E" w:rsidP="00C717E4">
      <w:pPr>
        <w:numPr>
          <w:ilvl w:val="0"/>
          <w:numId w:val="1"/>
        </w:numPr>
        <w:contextualSpacing/>
      </w:pPr>
      <w:r w:rsidRPr="00F8032E">
        <w:t xml:space="preserve">The Examining panel for submissions for research degrees that include creative works or performances will be exposed to the creative works prior to the </w:t>
      </w:r>
      <w:r w:rsidR="0070719A" w:rsidRPr="0070719A">
        <w:rPr>
          <w:i/>
        </w:rPr>
        <w:t>viva voce</w:t>
      </w:r>
      <w:r w:rsidRPr="00F8032E">
        <w:t>.</w:t>
      </w:r>
    </w:p>
    <w:p w:rsidR="00F8032E" w:rsidRDefault="00F8032E" w:rsidP="00C717E4">
      <w:pPr>
        <w:numPr>
          <w:ilvl w:val="0"/>
          <w:numId w:val="1"/>
        </w:numPr>
        <w:contextualSpacing/>
      </w:pPr>
      <w:r w:rsidRPr="00F8032E">
        <w:t>The oral examination will be conducted in English. Candidates may not be accompanied by a translator</w:t>
      </w:r>
      <w:r>
        <w:t>, nor</w:t>
      </w:r>
      <w:r w:rsidRPr="00F8032E">
        <w:t xml:space="preserve"> use a dictionary or </w:t>
      </w:r>
      <w:r>
        <w:t>translation</w:t>
      </w:r>
      <w:r w:rsidRPr="00F8032E">
        <w:t xml:space="preserve"> device during the examination.</w:t>
      </w:r>
    </w:p>
    <w:p w:rsidR="00F8032E" w:rsidRDefault="00F8032E" w:rsidP="00C717E4">
      <w:pPr>
        <w:numPr>
          <w:ilvl w:val="0"/>
          <w:numId w:val="1"/>
        </w:numPr>
        <w:contextualSpacing/>
      </w:pPr>
      <w:r w:rsidRPr="00F8032E">
        <w:t xml:space="preserve">One member of the candidate’s supervisory team may attend the </w:t>
      </w:r>
      <w:r w:rsidR="0070719A" w:rsidRPr="0070719A">
        <w:rPr>
          <w:i/>
        </w:rPr>
        <w:t>viva voce</w:t>
      </w:r>
      <w:r w:rsidRPr="00F8032E">
        <w:t xml:space="preserve"> at the invitation of the candidate. Supervisors do not have independent rights of attendance, and any such attendee may not participate in the discussions unless explicitly invited to do so by the Chair of the Examining Panel. The Chair of the Examining Panel may, at any time, require the attending supervisor to withdraw.</w:t>
      </w:r>
    </w:p>
    <w:p w:rsidR="00F8032E" w:rsidRDefault="00F8032E" w:rsidP="00C717E4">
      <w:pPr>
        <w:numPr>
          <w:ilvl w:val="0"/>
          <w:numId w:val="1"/>
        </w:numPr>
        <w:contextualSpacing/>
      </w:pPr>
      <w:r w:rsidRPr="00F8032E">
        <w:t xml:space="preserve">At the </w:t>
      </w:r>
      <w:r>
        <w:t>end of the oral examination</w:t>
      </w:r>
      <w:r w:rsidRPr="00F8032E">
        <w:t xml:space="preserve">, the examiners will be required to confer and to reach a unanimous opinion. </w:t>
      </w:r>
      <w:r>
        <w:t xml:space="preserve"> </w:t>
      </w:r>
      <w:r w:rsidRPr="00F8032E">
        <w:t xml:space="preserve">The Chair of the Examining Panel may indicate informally to the candidate the decision of the examiners at the end of the </w:t>
      </w:r>
      <w:r w:rsidR="0070719A" w:rsidRPr="0070719A">
        <w:rPr>
          <w:i/>
        </w:rPr>
        <w:t>viva voce</w:t>
      </w:r>
      <w:r w:rsidRPr="00F8032E">
        <w:t xml:space="preserve"> or subsequently, but must make clear that the final decision rests with the University. </w:t>
      </w:r>
      <w:r>
        <w:t xml:space="preserve"> </w:t>
      </w:r>
      <w:r w:rsidRPr="00F8032E">
        <w:t xml:space="preserve">The examiners will, under the guidance of the Chair of the Examining Panel, prepare a joint written report that specifies the outcome of the examination process. </w:t>
      </w:r>
      <w:r>
        <w:t xml:space="preserve"> </w:t>
      </w:r>
      <w:r w:rsidRPr="00F8032E">
        <w:t>The report should contain the decision of the Panel, and where any modifications to the thesis are required, a complete list and rationale for the requested revisions.</w:t>
      </w:r>
    </w:p>
    <w:p w:rsidR="00F8032E" w:rsidRDefault="00F8032E" w:rsidP="00C717E4">
      <w:pPr>
        <w:numPr>
          <w:ilvl w:val="0"/>
          <w:numId w:val="1"/>
        </w:numPr>
        <w:spacing w:after="120" w:line="240" w:lineRule="auto"/>
      </w:pPr>
      <w:r>
        <w:t xml:space="preserve">The </w:t>
      </w:r>
      <w:r w:rsidR="000766A7">
        <w:t xml:space="preserve">Examining Panel </w:t>
      </w:r>
      <w:r>
        <w:t>may make one of the following recommendations:-</w:t>
      </w:r>
    </w:p>
    <w:p w:rsidR="00F8032E" w:rsidRDefault="00F8032E" w:rsidP="008425B8">
      <w:pPr>
        <w:spacing w:after="120" w:line="240" w:lineRule="auto"/>
        <w:ind w:left="720"/>
      </w:pPr>
      <w:r>
        <w:t xml:space="preserve">(a) That the thesis be accepted as </w:t>
      </w:r>
      <w:r w:rsidR="00F3337A">
        <w:t>presented,</w:t>
      </w:r>
      <w:r>
        <w:t xml:space="preserve"> and that the candidate be approved for the award.</w:t>
      </w:r>
    </w:p>
    <w:p w:rsidR="00F8032E" w:rsidRDefault="00F8032E" w:rsidP="008425B8">
      <w:pPr>
        <w:spacing w:after="120" w:line="240" w:lineRule="auto"/>
        <w:ind w:left="720"/>
      </w:pPr>
      <w:r>
        <w:t xml:space="preserve">(b) That the thesis be accepted subject to </w:t>
      </w:r>
      <w:r w:rsidRPr="00F3337A">
        <w:rPr>
          <w:i/>
        </w:rPr>
        <w:t>minor modifications</w:t>
      </w:r>
      <w:r>
        <w:t xml:space="preserve">, and that the candidate be approved for the award subject to these modifications being made in a satisfactory manner within </w:t>
      </w:r>
      <w:r w:rsidR="009877E7">
        <w:t>one month</w:t>
      </w:r>
      <w:r>
        <w:t xml:space="preserve"> of the </w:t>
      </w:r>
      <w:r w:rsidR="0070719A" w:rsidRPr="0070719A">
        <w:rPr>
          <w:i/>
        </w:rPr>
        <w:t>viva voce</w:t>
      </w:r>
      <w:r>
        <w:t>.</w:t>
      </w:r>
    </w:p>
    <w:p w:rsidR="00F8032E" w:rsidRDefault="00F8032E" w:rsidP="008425B8">
      <w:pPr>
        <w:spacing w:after="120" w:line="240" w:lineRule="auto"/>
        <w:ind w:left="720"/>
      </w:pPr>
      <w:r>
        <w:t xml:space="preserve">(c) That the thesis be accepted subject to </w:t>
      </w:r>
      <w:r w:rsidRPr="00F3337A">
        <w:rPr>
          <w:i/>
        </w:rPr>
        <w:t>modifications</w:t>
      </w:r>
      <w:r>
        <w:t xml:space="preserve">, and that the candidate be approved for the award subject to these modifications being made in a satisfactory manner within </w:t>
      </w:r>
      <w:r w:rsidR="009877E7">
        <w:t>four months</w:t>
      </w:r>
      <w:r>
        <w:t xml:space="preserve"> of the </w:t>
      </w:r>
      <w:r w:rsidR="0070719A" w:rsidRPr="0070719A">
        <w:rPr>
          <w:i/>
        </w:rPr>
        <w:t>viva voce</w:t>
      </w:r>
      <w:r>
        <w:t>.</w:t>
      </w:r>
    </w:p>
    <w:p w:rsidR="00F8032E" w:rsidRDefault="00F8032E" w:rsidP="008425B8">
      <w:pPr>
        <w:spacing w:after="120" w:line="240" w:lineRule="auto"/>
        <w:ind w:left="720"/>
      </w:pPr>
      <w:r>
        <w:t xml:space="preserve">(d) That the thesis requires </w:t>
      </w:r>
      <w:r w:rsidRPr="00F3337A">
        <w:rPr>
          <w:i/>
        </w:rPr>
        <w:t>major modifications</w:t>
      </w:r>
      <w:r>
        <w:t>, and that the</w:t>
      </w:r>
      <w:r w:rsidR="009626FD">
        <w:t xml:space="preserve"> work</w:t>
      </w:r>
      <w:r>
        <w:t xml:space="preserve"> be re-examined when these modifications have been made </w:t>
      </w:r>
      <w:r w:rsidR="003D3931">
        <w:t xml:space="preserve">by a specified date </w:t>
      </w:r>
      <w:r>
        <w:t xml:space="preserve">within </w:t>
      </w:r>
      <w:r w:rsidR="003D3931">
        <w:t>twelve months</w:t>
      </w:r>
      <w:r>
        <w:t xml:space="preserve"> of the </w:t>
      </w:r>
      <w:r w:rsidR="0070719A" w:rsidRPr="0070719A">
        <w:rPr>
          <w:i/>
        </w:rPr>
        <w:t>viva voce</w:t>
      </w:r>
      <w:r>
        <w:t>.</w:t>
      </w:r>
      <w:r w:rsidR="00327D69">
        <w:t xml:space="preserve">   This recommendation is available only for MPhil or PhD.</w:t>
      </w:r>
    </w:p>
    <w:p w:rsidR="00F8032E" w:rsidRDefault="00F8032E" w:rsidP="008425B8">
      <w:pPr>
        <w:spacing w:after="120" w:line="240" w:lineRule="auto"/>
        <w:ind w:left="720"/>
      </w:pPr>
      <w:r>
        <w:t>(e) That in the case of candidates for the award of PhD, the thesis and research work is of insufficient scope or level for a doctorate, but that the candidate be awarded an MPhil.  Only minor modifications may be required when this recommendation is made.</w:t>
      </w:r>
    </w:p>
    <w:p w:rsidR="004F7D53" w:rsidRDefault="008636AB" w:rsidP="004F7D53">
      <w:pPr>
        <w:spacing w:after="120" w:line="240" w:lineRule="auto"/>
        <w:ind w:left="720"/>
      </w:pPr>
      <w:r>
        <w:t xml:space="preserve">(f) That in the case of candidates for the award of </w:t>
      </w:r>
      <w:r w:rsidR="004F7D53">
        <w:t>M</w:t>
      </w:r>
      <w:r>
        <w:t>Ph</w:t>
      </w:r>
      <w:r w:rsidR="004F7D53">
        <w:t>il</w:t>
      </w:r>
      <w:r>
        <w:t xml:space="preserve">, the thesis and research work is of insufficient scope or level for </w:t>
      </w:r>
      <w:r w:rsidR="004F7D53">
        <w:t>the MPhil</w:t>
      </w:r>
      <w:r>
        <w:t>, but that the candidate be awarded a M</w:t>
      </w:r>
      <w:r w:rsidR="004F7D53">
        <w:t>aster’s by Research</w:t>
      </w:r>
      <w:r>
        <w:t>.  Only minor modifications may be required when this recommendation is made.</w:t>
      </w:r>
    </w:p>
    <w:p w:rsidR="00F8032E" w:rsidRDefault="00F8032E" w:rsidP="004F7D53">
      <w:pPr>
        <w:spacing w:after="120" w:line="240" w:lineRule="auto"/>
        <w:ind w:left="720"/>
      </w:pPr>
      <w:r>
        <w:t>(</w:t>
      </w:r>
      <w:r w:rsidR="004F7D53">
        <w:t>g</w:t>
      </w:r>
      <w:r>
        <w:t>) That the candidate has failed to satisfy the examining panel and that no award be made.</w:t>
      </w:r>
    </w:p>
    <w:p w:rsidR="006F614E" w:rsidRDefault="006F614E" w:rsidP="00C717E4">
      <w:pPr>
        <w:pStyle w:val="ListParagraph"/>
        <w:numPr>
          <w:ilvl w:val="0"/>
          <w:numId w:val="1"/>
        </w:numPr>
        <w:spacing w:line="240" w:lineRule="auto"/>
      </w:pPr>
      <w:r>
        <w:t>In cases where the Examiners fail to reach agreement on a recommendation, the Chair should seek to achieve consensus.  Only in those cases where no resolution can be found, should the Chair seek further expert advice within the discipline.</w:t>
      </w:r>
    </w:p>
    <w:p w:rsidR="008425B8" w:rsidRDefault="008425B8" w:rsidP="00C717E4">
      <w:pPr>
        <w:pStyle w:val="ListParagraph"/>
        <w:numPr>
          <w:ilvl w:val="0"/>
          <w:numId w:val="1"/>
        </w:numPr>
        <w:spacing w:line="240" w:lineRule="auto"/>
      </w:pPr>
      <w:r>
        <w:t xml:space="preserve">The recommendation of the Examiners will be considered by the </w:t>
      </w:r>
      <w:r w:rsidR="006F4BB6">
        <w:t>Registrar</w:t>
      </w:r>
      <w:r>
        <w:t xml:space="preserve">.  </w:t>
      </w:r>
      <w:r w:rsidR="006F4BB6">
        <w:t xml:space="preserve">In the case of recommendations under (e), (f) or (g) above, the Registrar will convene a meeting of at least three members of the Research Degrees Assessment Panel to consider the recommendation.  </w:t>
      </w:r>
      <w:r>
        <w:t xml:space="preserve">The outcome of the oral examination will then be communicated to the student by Registry.  </w:t>
      </w:r>
    </w:p>
    <w:p w:rsidR="00967C3D" w:rsidRDefault="00967C3D" w:rsidP="00967C3D">
      <w:pPr>
        <w:pStyle w:val="Heading2"/>
      </w:pPr>
      <w:r>
        <w:t>Modifications and re-examination</w:t>
      </w:r>
    </w:p>
    <w:p w:rsidR="00967C3D" w:rsidRDefault="00967C3D" w:rsidP="00C717E4">
      <w:pPr>
        <w:pStyle w:val="ListParagraph"/>
        <w:numPr>
          <w:ilvl w:val="0"/>
          <w:numId w:val="1"/>
        </w:numPr>
      </w:pPr>
      <w:r w:rsidRPr="00967C3D">
        <w:t xml:space="preserve">The classifications of minor modifications, modifications, and major modifications are defined in the </w:t>
      </w:r>
      <w:r w:rsidRPr="00967C3D">
        <w:rPr>
          <w:b/>
        </w:rPr>
        <w:t xml:space="preserve">Research </w:t>
      </w:r>
      <w:r w:rsidR="008636AB">
        <w:rPr>
          <w:b/>
        </w:rPr>
        <w:t xml:space="preserve">Student and Supervisor </w:t>
      </w:r>
      <w:r w:rsidRPr="00967C3D">
        <w:rPr>
          <w:b/>
        </w:rPr>
        <w:t>Handbook</w:t>
      </w:r>
      <w:r w:rsidRPr="00967C3D">
        <w:t>.</w:t>
      </w:r>
    </w:p>
    <w:p w:rsidR="00967C3D" w:rsidRDefault="00967C3D" w:rsidP="00C717E4">
      <w:pPr>
        <w:pStyle w:val="ListParagraph"/>
        <w:numPr>
          <w:ilvl w:val="0"/>
          <w:numId w:val="1"/>
        </w:numPr>
      </w:pPr>
      <w:r w:rsidRPr="00967C3D">
        <w:t xml:space="preserve">Where a thesis requires minor modifications the revised work must be submitted within </w:t>
      </w:r>
      <w:r w:rsidR="003D3931">
        <w:t>one month</w:t>
      </w:r>
      <w:r w:rsidRPr="00967C3D">
        <w:t xml:space="preserve"> of the date of the </w:t>
      </w:r>
      <w:r w:rsidR="0070719A" w:rsidRPr="0070719A">
        <w:rPr>
          <w:i/>
        </w:rPr>
        <w:t>viva voce</w:t>
      </w:r>
      <w:r w:rsidRPr="00967C3D">
        <w:t>. The Chair of the Examining Panel and the Internal Examiner will scrutini</w:t>
      </w:r>
      <w:r>
        <w:t>s</w:t>
      </w:r>
      <w:r w:rsidRPr="00967C3D">
        <w:t>e the revisions.</w:t>
      </w:r>
      <w:r>
        <w:t xml:space="preserve"> </w:t>
      </w:r>
      <w:r w:rsidRPr="00967C3D">
        <w:t xml:space="preserve"> If the modifications are satisfactory, then the Chair of the Examining Panel will notify the </w:t>
      </w:r>
      <w:r w:rsidR="005C3496">
        <w:t>Registrar</w:t>
      </w:r>
      <w:r w:rsidRPr="00967C3D">
        <w:t>, and recommend the candidate for the award.</w:t>
      </w:r>
    </w:p>
    <w:p w:rsidR="00967C3D" w:rsidRDefault="00967C3D" w:rsidP="00C717E4">
      <w:pPr>
        <w:pStyle w:val="ListParagraph"/>
        <w:numPr>
          <w:ilvl w:val="0"/>
          <w:numId w:val="1"/>
        </w:numPr>
      </w:pPr>
      <w:r w:rsidRPr="00967C3D">
        <w:t xml:space="preserve">Where a thesis requires modifications the revised work must be submitted within </w:t>
      </w:r>
      <w:r w:rsidR="003D3931">
        <w:t>four months</w:t>
      </w:r>
      <w:r w:rsidRPr="00967C3D">
        <w:t xml:space="preserve"> of the date of the </w:t>
      </w:r>
      <w:r w:rsidR="0070719A" w:rsidRPr="0070719A">
        <w:rPr>
          <w:i/>
        </w:rPr>
        <w:t>viva voce</w:t>
      </w:r>
      <w:r w:rsidRPr="00967C3D">
        <w:t>. The Chair of the Examining Panel with the External Examiner and the Internal Examiner will scrutini</w:t>
      </w:r>
      <w:r>
        <w:t>s</w:t>
      </w:r>
      <w:r w:rsidRPr="00967C3D">
        <w:t>e the revisions</w:t>
      </w:r>
      <w:r w:rsidR="00833C61">
        <w:t>, unless the External Examiner has agreed that they may be scrutinised by the Chair and the Internal Examiner only</w:t>
      </w:r>
      <w:r w:rsidRPr="00967C3D">
        <w:t>.</w:t>
      </w:r>
      <w:r>
        <w:t xml:space="preserve"> </w:t>
      </w:r>
      <w:r w:rsidRPr="00967C3D">
        <w:t xml:space="preserve"> If the modifications</w:t>
      </w:r>
      <w:r w:rsidR="001C24BD">
        <w:t xml:space="preserve"> are</w:t>
      </w:r>
      <w:r w:rsidRPr="00967C3D">
        <w:t xml:space="preserve"> satisfactory, then the Chair of the Examining Panel will notify the </w:t>
      </w:r>
      <w:r w:rsidR="005C3496">
        <w:t>Registrar</w:t>
      </w:r>
      <w:r w:rsidRPr="00967C3D">
        <w:t>, and recommend the candidate for the award.</w:t>
      </w:r>
    </w:p>
    <w:p w:rsidR="00967C3D" w:rsidRDefault="00967C3D" w:rsidP="00C717E4">
      <w:pPr>
        <w:pStyle w:val="ListParagraph"/>
        <w:numPr>
          <w:ilvl w:val="0"/>
          <w:numId w:val="1"/>
        </w:numPr>
      </w:pPr>
      <w:r w:rsidRPr="00967C3D">
        <w:t xml:space="preserve">Where a thesis requires major modifications, the revised work must be submitted </w:t>
      </w:r>
      <w:r w:rsidR="001C24BD">
        <w:t>by the specified date, which will be within 12 months</w:t>
      </w:r>
      <w:r w:rsidRPr="00967C3D">
        <w:t xml:space="preserve"> of the date of the </w:t>
      </w:r>
      <w:r w:rsidR="0070719A" w:rsidRPr="0070719A">
        <w:rPr>
          <w:i/>
        </w:rPr>
        <w:t>viva voce</w:t>
      </w:r>
      <w:r w:rsidRPr="00967C3D">
        <w:t xml:space="preserve">, and the work will be re-examined by the original panel. </w:t>
      </w:r>
      <w:r w:rsidR="00417955">
        <w:t xml:space="preserve"> </w:t>
      </w:r>
      <w:r w:rsidR="004F7D53">
        <w:t xml:space="preserve">An alternative Examiner may be appointed only where a member of the original panel is no longer available.  </w:t>
      </w:r>
      <w:r w:rsidRPr="00967C3D">
        <w:t>The Chair of the Examining Panel with the External Examiner and Internal Examiner will scrutini</w:t>
      </w:r>
      <w:r w:rsidR="00417955">
        <w:t>s</w:t>
      </w:r>
      <w:r w:rsidRPr="00967C3D">
        <w:t xml:space="preserve">e the revisions. </w:t>
      </w:r>
      <w:r w:rsidR="00B132F7">
        <w:t xml:space="preserve"> The Examining Panel may require that a second oral examination is held. </w:t>
      </w:r>
      <w:r w:rsidR="00417955">
        <w:t xml:space="preserve"> </w:t>
      </w:r>
      <w:r w:rsidRPr="00967C3D">
        <w:t>If the modifications are satisfactory</w:t>
      </w:r>
      <w:r w:rsidR="00B132F7">
        <w:t>,</w:t>
      </w:r>
      <w:r w:rsidRPr="00967C3D">
        <w:t xml:space="preserve"> then the Chair of the Examining Panel will notify the </w:t>
      </w:r>
      <w:r w:rsidR="005C3496">
        <w:t>Registrar</w:t>
      </w:r>
      <w:r w:rsidRPr="00967C3D">
        <w:t xml:space="preserve">, and recommend the candidate for the award. </w:t>
      </w:r>
      <w:r w:rsidR="00417955">
        <w:t xml:space="preserve"> </w:t>
      </w:r>
      <w:r w:rsidRPr="00967C3D">
        <w:t>Only one re-examination will be permitted</w:t>
      </w:r>
      <w:r w:rsidR="00B132F7">
        <w:t>, and at this stage any modifications required by</w:t>
      </w:r>
      <w:r w:rsidRPr="00967C3D">
        <w:t xml:space="preserve"> the Examining Panel </w:t>
      </w:r>
      <w:r w:rsidR="00B132F7">
        <w:t>may only be</w:t>
      </w:r>
      <w:r w:rsidRPr="00967C3D">
        <w:t xml:space="preserve"> minor modifications</w:t>
      </w:r>
      <w:r w:rsidR="00B132F7">
        <w:t xml:space="preserve">, </w:t>
      </w:r>
      <w:r w:rsidR="00417955">
        <w:t xml:space="preserve">whether for the intended award or a lower award.  Such minor modifications </w:t>
      </w:r>
      <w:r w:rsidR="00B132F7">
        <w:t xml:space="preserve"> must</w:t>
      </w:r>
      <w:r w:rsidRPr="00967C3D">
        <w:t xml:space="preserve"> be completed within </w:t>
      </w:r>
      <w:r w:rsidR="00285267">
        <w:t>one month</w:t>
      </w:r>
      <w:r w:rsidRPr="00967C3D">
        <w:t xml:space="preserve"> of the re-examination</w:t>
      </w:r>
      <w:r w:rsidR="00417955">
        <w:t>, and will be scrutinised by the Chair of the Examining Panel and the Internal Examiner, in line with regulation 57 above.</w:t>
      </w:r>
    </w:p>
    <w:p w:rsidR="00B132F7" w:rsidRDefault="00B132F7" w:rsidP="00C717E4">
      <w:pPr>
        <w:pStyle w:val="ListParagraph"/>
        <w:numPr>
          <w:ilvl w:val="0"/>
          <w:numId w:val="1"/>
        </w:numPr>
      </w:pPr>
      <w:r w:rsidRPr="00B132F7">
        <w:t xml:space="preserve">The periods for re-submission apply equally to </w:t>
      </w:r>
      <w:r>
        <w:t xml:space="preserve">all </w:t>
      </w:r>
      <w:r w:rsidRPr="00B132F7">
        <w:t>candidates</w:t>
      </w:r>
      <w:r>
        <w:t>, regardless of mode of study.</w:t>
      </w:r>
    </w:p>
    <w:p w:rsidR="00692F3F" w:rsidRPr="00967C3D" w:rsidRDefault="00692F3F" w:rsidP="00692F3F">
      <w:pPr>
        <w:pStyle w:val="ListParagraph"/>
      </w:pPr>
    </w:p>
    <w:sectPr w:rsidR="00692F3F" w:rsidRPr="00967C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5ED7"/>
    <w:multiLevelType w:val="hybridMultilevel"/>
    <w:tmpl w:val="C792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BC1F25"/>
    <w:multiLevelType w:val="hybridMultilevel"/>
    <w:tmpl w:val="5D669C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100D2E"/>
    <w:multiLevelType w:val="hybridMultilevel"/>
    <w:tmpl w:val="7E829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241358"/>
    <w:multiLevelType w:val="hybridMultilevel"/>
    <w:tmpl w:val="9474A934"/>
    <w:lvl w:ilvl="0" w:tplc="91F8482A">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6A551E"/>
    <w:multiLevelType w:val="hybridMultilevel"/>
    <w:tmpl w:val="B4A48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842"/>
    <w:rsid w:val="00037ED5"/>
    <w:rsid w:val="00042247"/>
    <w:rsid w:val="00043700"/>
    <w:rsid w:val="000724F2"/>
    <w:rsid w:val="000766A7"/>
    <w:rsid w:val="000848EB"/>
    <w:rsid w:val="00087E14"/>
    <w:rsid w:val="000C6551"/>
    <w:rsid w:val="000D31A5"/>
    <w:rsid w:val="000D6B3E"/>
    <w:rsid w:val="000E574C"/>
    <w:rsid w:val="000E77B0"/>
    <w:rsid w:val="001473DD"/>
    <w:rsid w:val="00185DD9"/>
    <w:rsid w:val="00197E3F"/>
    <w:rsid w:val="001A3303"/>
    <w:rsid w:val="001C24BD"/>
    <w:rsid w:val="001C2512"/>
    <w:rsid w:val="001D375E"/>
    <w:rsid w:val="002203F3"/>
    <w:rsid w:val="00223BB9"/>
    <w:rsid w:val="00226501"/>
    <w:rsid w:val="00275D00"/>
    <w:rsid w:val="00285267"/>
    <w:rsid w:val="002F0A63"/>
    <w:rsid w:val="003218BC"/>
    <w:rsid w:val="00327D69"/>
    <w:rsid w:val="003429F1"/>
    <w:rsid w:val="0035646D"/>
    <w:rsid w:val="003D3931"/>
    <w:rsid w:val="00410D18"/>
    <w:rsid w:val="00417955"/>
    <w:rsid w:val="00473BB7"/>
    <w:rsid w:val="004B3B9A"/>
    <w:rsid w:val="004F6AF6"/>
    <w:rsid w:val="004F7D53"/>
    <w:rsid w:val="005002BD"/>
    <w:rsid w:val="0053407C"/>
    <w:rsid w:val="00555F4F"/>
    <w:rsid w:val="00572F85"/>
    <w:rsid w:val="005A57D1"/>
    <w:rsid w:val="005C3496"/>
    <w:rsid w:val="006049F1"/>
    <w:rsid w:val="0063602F"/>
    <w:rsid w:val="006446A6"/>
    <w:rsid w:val="00677929"/>
    <w:rsid w:val="0068658D"/>
    <w:rsid w:val="00692F3F"/>
    <w:rsid w:val="006A0B5A"/>
    <w:rsid w:val="006D2B0C"/>
    <w:rsid w:val="006E7ED2"/>
    <w:rsid w:val="006F3BCB"/>
    <w:rsid w:val="006F4BB6"/>
    <w:rsid w:val="006F614E"/>
    <w:rsid w:val="0070719A"/>
    <w:rsid w:val="00712F27"/>
    <w:rsid w:val="00725714"/>
    <w:rsid w:val="00731026"/>
    <w:rsid w:val="007B29AD"/>
    <w:rsid w:val="007B492E"/>
    <w:rsid w:val="007C3D59"/>
    <w:rsid w:val="007D0760"/>
    <w:rsid w:val="00815DDC"/>
    <w:rsid w:val="008201C4"/>
    <w:rsid w:val="00833C61"/>
    <w:rsid w:val="0084044E"/>
    <w:rsid w:val="008425B8"/>
    <w:rsid w:val="008636AB"/>
    <w:rsid w:val="0086494E"/>
    <w:rsid w:val="008A013E"/>
    <w:rsid w:val="008A0AF0"/>
    <w:rsid w:val="008B74B2"/>
    <w:rsid w:val="00900996"/>
    <w:rsid w:val="00926D22"/>
    <w:rsid w:val="0093122E"/>
    <w:rsid w:val="009542F6"/>
    <w:rsid w:val="009626FD"/>
    <w:rsid w:val="00967C3D"/>
    <w:rsid w:val="0097135C"/>
    <w:rsid w:val="0097431E"/>
    <w:rsid w:val="0098014D"/>
    <w:rsid w:val="009877E7"/>
    <w:rsid w:val="009952FA"/>
    <w:rsid w:val="009A2FBC"/>
    <w:rsid w:val="009A6085"/>
    <w:rsid w:val="009F4FC1"/>
    <w:rsid w:val="00A073A2"/>
    <w:rsid w:val="00A37DB3"/>
    <w:rsid w:val="00A504C4"/>
    <w:rsid w:val="00A66867"/>
    <w:rsid w:val="00A77DBE"/>
    <w:rsid w:val="00AD3A26"/>
    <w:rsid w:val="00AF07E4"/>
    <w:rsid w:val="00B132F7"/>
    <w:rsid w:val="00B462C2"/>
    <w:rsid w:val="00B52995"/>
    <w:rsid w:val="00BD24CA"/>
    <w:rsid w:val="00BD4CF9"/>
    <w:rsid w:val="00BE07F4"/>
    <w:rsid w:val="00C12551"/>
    <w:rsid w:val="00C534CA"/>
    <w:rsid w:val="00C70B81"/>
    <w:rsid w:val="00C717E4"/>
    <w:rsid w:val="00C92491"/>
    <w:rsid w:val="00CD252D"/>
    <w:rsid w:val="00CE4F25"/>
    <w:rsid w:val="00CF243A"/>
    <w:rsid w:val="00D23842"/>
    <w:rsid w:val="00D25858"/>
    <w:rsid w:val="00D5173D"/>
    <w:rsid w:val="00D75A81"/>
    <w:rsid w:val="00D77672"/>
    <w:rsid w:val="00E030BF"/>
    <w:rsid w:val="00E23971"/>
    <w:rsid w:val="00E24E50"/>
    <w:rsid w:val="00E424AC"/>
    <w:rsid w:val="00E6020A"/>
    <w:rsid w:val="00E92FBB"/>
    <w:rsid w:val="00E95FCF"/>
    <w:rsid w:val="00EA401A"/>
    <w:rsid w:val="00EF0F28"/>
    <w:rsid w:val="00F12142"/>
    <w:rsid w:val="00F2739C"/>
    <w:rsid w:val="00F3337A"/>
    <w:rsid w:val="00F548B3"/>
    <w:rsid w:val="00F8032E"/>
    <w:rsid w:val="00F83ADB"/>
    <w:rsid w:val="00F85ED3"/>
    <w:rsid w:val="00FC1E16"/>
    <w:rsid w:val="00FE13EF"/>
    <w:rsid w:val="00FF6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566453-6BAE-48AE-9BFE-BA3E723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842"/>
  </w:style>
  <w:style w:type="paragraph" w:styleId="Heading1">
    <w:name w:val="heading 1"/>
    <w:basedOn w:val="Normal"/>
    <w:next w:val="Normal"/>
    <w:link w:val="Heading1Char"/>
    <w:uiPriority w:val="9"/>
    <w:qFormat/>
    <w:rsid w:val="00D238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924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84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23842"/>
    <w:pPr>
      <w:ind w:left="720"/>
      <w:contextualSpacing/>
    </w:pPr>
  </w:style>
  <w:style w:type="character" w:customStyle="1" w:styleId="Heading2Char">
    <w:name w:val="Heading 2 Char"/>
    <w:basedOn w:val="DefaultParagraphFont"/>
    <w:link w:val="Heading2"/>
    <w:uiPriority w:val="9"/>
    <w:rsid w:val="00C9249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C92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173D"/>
    <w:rPr>
      <w:sz w:val="16"/>
      <w:szCs w:val="16"/>
    </w:rPr>
  </w:style>
  <w:style w:type="paragraph" w:styleId="CommentText">
    <w:name w:val="annotation text"/>
    <w:basedOn w:val="Normal"/>
    <w:link w:val="CommentTextChar"/>
    <w:uiPriority w:val="99"/>
    <w:semiHidden/>
    <w:unhideWhenUsed/>
    <w:rsid w:val="00D5173D"/>
    <w:pPr>
      <w:spacing w:line="240" w:lineRule="auto"/>
    </w:pPr>
    <w:rPr>
      <w:sz w:val="20"/>
      <w:szCs w:val="20"/>
    </w:rPr>
  </w:style>
  <w:style w:type="character" w:customStyle="1" w:styleId="CommentTextChar">
    <w:name w:val="Comment Text Char"/>
    <w:basedOn w:val="DefaultParagraphFont"/>
    <w:link w:val="CommentText"/>
    <w:uiPriority w:val="99"/>
    <w:semiHidden/>
    <w:rsid w:val="00D5173D"/>
    <w:rPr>
      <w:sz w:val="20"/>
      <w:szCs w:val="20"/>
    </w:rPr>
  </w:style>
  <w:style w:type="paragraph" w:styleId="CommentSubject">
    <w:name w:val="annotation subject"/>
    <w:basedOn w:val="CommentText"/>
    <w:next w:val="CommentText"/>
    <w:link w:val="CommentSubjectChar"/>
    <w:uiPriority w:val="99"/>
    <w:semiHidden/>
    <w:unhideWhenUsed/>
    <w:rsid w:val="00D5173D"/>
    <w:rPr>
      <w:b/>
      <w:bCs/>
    </w:rPr>
  </w:style>
  <w:style w:type="character" w:customStyle="1" w:styleId="CommentSubjectChar">
    <w:name w:val="Comment Subject Char"/>
    <w:basedOn w:val="CommentTextChar"/>
    <w:link w:val="CommentSubject"/>
    <w:uiPriority w:val="99"/>
    <w:semiHidden/>
    <w:rsid w:val="00D5173D"/>
    <w:rPr>
      <w:b/>
      <w:bCs/>
      <w:sz w:val="20"/>
      <w:szCs w:val="20"/>
    </w:rPr>
  </w:style>
  <w:style w:type="paragraph" w:styleId="BalloonText">
    <w:name w:val="Balloon Text"/>
    <w:basedOn w:val="Normal"/>
    <w:link w:val="BalloonTextChar"/>
    <w:uiPriority w:val="99"/>
    <w:semiHidden/>
    <w:unhideWhenUsed/>
    <w:rsid w:val="00D51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7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6DE43-CEDA-4835-AB9F-DF8CE335B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3070</Words>
  <Characters>17499</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UAD</Company>
  <LinksUpToDate>false</LinksUpToDate>
  <CharactersWithSpaces>20528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Susan</dc:creator>
  <cp:lastModifiedBy>Laurie Cameron</cp:lastModifiedBy>
  <cp:revision>2</cp:revision>
  <dcterms:created xsi:type="dcterms:W3CDTF">2017-12-06T14:40:00Z</dcterms:created>
  <dcterms:modified xsi:type="dcterms:W3CDTF">2017-12-06T14:40:00Z</dcterms:modified>
</cp:coreProperties>
</file>